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CONCLUDING REMARKS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The rediscovery of manuscript Montpellier H159, with a notation that presumably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represented microtones, caused much consternation amongst French scholars around the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middle of the nineteenth century. Microtones, intervals smaller than the smallest interval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in European main stream music – the semitone – were considered to be ‘oriental’ or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 xml:space="preserve">‘Arabic’, which </w:t>
      </w:r>
      <w:r w:rsidRPr="001C6236">
        <w:rPr>
          <w:i/>
          <w:iCs/>
          <w:lang w:val="en-GB"/>
        </w:rPr>
        <w:t xml:space="preserve">de facto </w:t>
      </w:r>
      <w:r w:rsidRPr="001C6236">
        <w:rPr>
          <w:lang w:val="en-GB"/>
        </w:rPr>
        <w:t>meant ‘inferior’. It was considered impossible that ‘the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foundation of Western music’, Romano-Frankish chant, could contain these ‘inferior’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pitches. The academic discourse about the subject got bogged down when, after 1903,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scholars with a clerical background withdrew from the discussion, possibly due to the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Vatican’s preference for analyses that supported community singing; quartertones did not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fit into that concept.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 xml:space="preserve">In 1978, Dom Jacques </w:t>
      </w:r>
      <w:proofErr w:type="spellStart"/>
      <w:r w:rsidRPr="001C6236">
        <w:rPr>
          <w:lang w:val="en-GB"/>
        </w:rPr>
        <w:t>Froger</w:t>
      </w:r>
      <w:proofErr w:type="spellEnd"/>
      <w:r w:rsidRPr="001C6236">
        <w:rPr>
          <w:lang w:val="en-GB"/>
        </w:rPr>
        <w:t xml:space="preserve"> from the Benedictine </w:t>
      </w:r>
      <w:proofErr w:type="spellStart"/>
      <w:r w:rsidRPr="001C6236">
        <w:rPr>
          <w:lang w:val="en-GB"/>
        </w:rPr>
        <w:t>Solesmes</w:t>
      </w:r>
      <w:proofErr w:type="spellEnd"/>
      <w:r w:rsidRPr="001C6236">
        <w:rPr>
          <w:lang w:val="en-GB"/>
        </w:rPr>
        <w:t xml:space="preserve"> Abbey wrote an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article that clearly intended to stop the discussion about microtones once and for all.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Implicitly acknowledging a distinguishable sonic property of the H 159 symbols, he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unsuccessfully tried to attach another meaning to them. Ike de Loos and Manuel Pedro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Ferreira in their doctoral theses again addressed the subject from a supportive angle in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1996 and 1997 respectively, but there was little to no resonance to their opinions. Andreas</w:t>
      </w:r>
    </w:p>
    <w:p w:rsidR="001C6236" w:rsidRPr="001C6236" w:rsidRDefault="001C6236" w:rsidP="001C6236">
      <w:pPr>
        <w:rPr>
          <w:lang w:val="en-GB"/>
        </w:rPr>
      </w:pPr>
      <w:proofErr w:type="spellStart"/>
      <w:r w:rsidRPr="001C6236">
        <w:rPr>
          <w:lang w:val="en-GB"/>
        </w:rPr>
        <w:t>Pfisterer</w:t>
      </w:r>
      <w:proofErr w:type="spellEnd"/>
      <w:r w:rsidRPr="001C6236">
        <w:rPr>
          <w:lang w:val="en-GB"/>
        </w:rPr>
        <w:t>, in one of the few substantive responses to Ferreira’s research, acknowledges the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occurrence of microtonal inflections, but is inclined to consider microtonal inflections as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local intonation peculiarities, not as a quality inherent to the Romano-Frankish chant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tradition as we know it or its (Roman?) predecessor. He cannot agree with the scope of the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phenomenon as assumed by Ferreira because he considers the number of manuscripts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consulted to be insufficient for developing theories. As demonstrated by additional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evidence from amongst Christian Meyer’s study about the practical impact of monochord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instructions and the calculations of microtonal intervals in instructions written all over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north-western Europe on the one hand and by the numerous references to the reception of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microtones in chronicles and treatises over a period that covers centuries on the other hand,</w:t>
      </w:r>
    </w:p>
    <w:p w:rsidR="001C6236" w:rsidRPr="001C6236" w:rsidRDefault="001C6236" w:rsidP="001C6236">
      <w:pPr>
        <w:rPr>
          <w:lang w:val="en-GB"/>
        </w:rPr>
      </w:pPr>
      <w:proofErr w:type="spellStart"/>
      <w:r w:rsidRPr="001C6236">
        <w:rPr>
          <w:lang w:val="en-GB"/>
        </w:rPr>
        <w:t>Pfisterer’s</w:t>
      </w:r>
      <w:proofErr w:type="spellEnd"/>
      <w:r w:rsidRPr="001C6236">
        <w:rPr>
          <w:lang w:val="en-GB"/>
        </w:rPr>
        <w:t xml:space="preserve"> reservations can be put aside without concern.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 xml:space="preserve">Now, exactly forty years after </w:t>
      </w:r>
      <w:proofErr w:type="spellStart"/>
      <w:r w:rsidRPr="001C6236">
        <w:rPr>
          <w:lang w:val="en-GB"/>
        </w:rPr>
        <w:t>Froger’s</w:t>
      </w:r>
      <w:proofErr w:type="spellEnd"/>
      <w:r w:rsidRPr="001C6236">
        <w:rPr>
          <w:lang w:val="en-GB"/>
        </w:rPr>
        <w:t xml:space="preserve"> publication, the new insights that have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developed since then not only seem to make the palaeographical rejection of a medieval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liturgical microtonal performance tradition untenable, but also add crucial understanding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lastRenderedPageBreak/>
        <w:t>about functional links between text and melody that reflect a sophisticated microtonal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performance tradition far beyond concepts of embellishment or word painting.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 xml:space="preserve">Michel </w:t>
      </w:r>
      <w:proofErr w:type="spellStart"/>
      <w:r w:rsidRPr="001C6236">
        <w:rPr>
          <w:lang w:val="en-GB"/>
        </w:rPr>
        <w:t>Huglo</w:t>
      </w:r>
      <w:proofErr w:type="spellEnd"/>
      <w:r w:rsidRPr="001C6236">
        <w:rPr>
          <w:lang w:val="en-GB"/>
        </w:rPr>
        <w:t xml:space="preserve"> and Ferreira sketch Roman chant as a western outpost of Hellenistic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traditions. In the context of a Latin, Roman tradition, the enharmonic genus was mentioned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 xml:space="preserve">by Aristides </w:t>
      </w:r>
      <w:proofErr w:type="spellStart"/>
      <w:r w:rsidRPr="001C6236">
        <w:rPr>
          <w:lang w:val="en-GB"/>
        </w:rPr>
        <w:t>Quintilianus</w:t>
      </w:r>
      <w:proofErr w:type="spellEnd"/>
      <w:r w:rsidRPr="001C6236">
        <w:rPr>
          <w:lang w:val="en-GB"/>
        </w:rPr>
        <w:t>; later, Boethius’s treatises transferred it to the Carolingians,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where during the ninth century, Pseudo-</w:t>
      </w:r>
      <w:proofErr w:type="spellStart"/>
      <w:r w:rsidRPr="001C6236">
        <w:rPr>
          <w:lang w:val="en-GB"/>
        </w:rPr>
        <w:t>Remigius</w:t>
      </w:r>
      <w:proofErr w:type="spellEnd"/>
      <w:r w:rsidRPr="001C6236">
        <w:rPr>
          <w:lang w:val="en-GB"/>
        </w:rPr>
        <w:t xml:space="preserve"> of Auxerre refers to this genus as a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Roman performance tradition. Chronicles continue mentioning the performance of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microtonal inflections until the end of the fifteenth century.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 xml:space="preserve">To investigate </w:t>
      </w:r>
      <w:r w:rsidRPr="001C6236">
        <w:rPr>
          <w:i/>
          <w:iCs/>
          <w:lang w:val="en-GB"/>
        </w:rPr>
        <w:t xml:space="preserve">why </w:t>
      </w:r>
      <w:r w:rsidRPr="001C6236">
        <w:rPr>
          <w:lang w:val="en-GB"/>
        </w:rPr>
        <w:t>microtonal inflections were employed never occurred to the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scholars who acknowledged them. Answers to why a musical figure is employed require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 xml:space="preserve">functional analysis. It was Jacques </w:t>
      </w:r>
      <w:proofErr w:type="spellStart"/>
      <w:r w:rsidRPr="001C6236">
        <w:rPr>
          <w:lang w:val="en-GB"/>
        </w:rPr>
        <w:t>Froger</w:t>
      </w:r>
      <w:proofErr w:type="spellEnd"/>
      <w:r w:rsidRPr="001C6236">
        <w:rPr>
          <w:lang w:val="en-GB"/>
        </w:rPr>
        <w:t xml:space="preserve"> who sought for functional answers in 1978. His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functional analysis failed for two reasons. Firstly, because he concentrated on a strictly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musical context. Secondly, because the phenomenon does not reflect the formal, melodic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system of the Romano-Frankish tradition. Its employment to a certain extent indeed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 xml:space="preserve">depends upon “whether the scribe feels like it”, as a scholar quoted by </w:t>
      </w:r>
      <w:proofErr w:type="spellStart"/>
      <w:r w:rsidRPr="001C6236">
        <w:rPr>
          <w:lang w:val="en-GB"/>
        </w:rPr>
        <w:t>Froger</w:t>
      </w:r>
      <w:proofErr w:type="spellEnd"/>
      <w:r w:rsidRPr="001C6236">
        <w:rPr>
          <w:lang w:val="en-GB"/>
        </w:rPr>
        <w:t xml:space="preserve"> correctly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remarks.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The analysis in the present PhD thesis indicates that microtonal inflections are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triggered by the meaning of words and / or expressions; the melodic accentuation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contributes to the rhetorical qualities of the texts sung. Via rhetorical channels, the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 xml:space="preserve">microtonal signal-vehicles address </w:t>
      </w:r>
      <w:r w:rsidRPr="001C6236">
        <w:rPr>
          <w:i/>
          <w:iCs/>
          <w:lang w:val="en-GB"/>
        </w:rPr>
        <w:t xml:space="preserve">movere et </w:t>
      </w:r>
      <w:proofErr w:type="spellStart"/>
      <w:r w:rsidRPr="001C6236">
        <w:rPr>
          <w:i/>
          <w:iCs/>
          <w:lang w:val="en-GB"/>
        </w:rPr>
        <w:t>docere</w:t>
      </w:r>
      <w:proofErr w:type="spellEnd"/>
      <w:r w:rsidRPr="001C6236">
        <w:rPr>
          <w:i/>
          <w:iCs/>
          <w:lang w:val="en-GB"/>
        </w:rPr>
        <w:t xml:space="preserve"> </w:t>
      </w:r>
      <w:r w:rsidRPr="001C6236">
        <w:rPr>
          <w:lang w:val="en-GB"/>
        </w:rPr>
        <w:t>by highlighting words related to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 xml:space="preserve">affect, logic, and </w:t>
      </w:r>
      <w:r w:rsidRPr="001C6236">
        <w:rPr>
          <w:i/>
          <w:iCs/>
          <w:lang w:val="en-GB"/>
        </w:rPr>
        <w:t>loci</w:t>
      </w:r>
      <w:r w:rsidRPr="001C6236">
        <w:rPr>
          <w:lang w:val="en-GB"/>
        </w:rPr>
        <w:t>. In addition, my research contextualises the functionalities of a range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 xml:space="preserve">of melodic </w:t>
      </w:r>
      <w:proofErr w:type="spellStart"/>
      <w:r w:rsidRPr="001C6236">
        <w:rPr>
          <w:lang w:val="en-GB"/>
        </w:rPr>
        <w:t>musemes</w:t>
      </w:r>
      <w:proofErr w:type="spellEnd"/>
      <w:r w:rsidRPr="001C6236">
        <w:rPr>
          <w:lang w:val="en-GB"/>
        </w:rPr>
        <w:t xml:space="preserve"> in medieval chant. The combination of melodic meanings and text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elements created new multi-levelled rhizomes that called for an adapted nomenclature,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which is based upon semiotic terminologies. Central semiotic concepts are ‘</w:t>
      </w:r>
      <w:proofErr w:type="spellStart"/>
      <w:r w:rsidRPr="001C6236">
        <w:rPr>
          <w:lang w:val="en-GB"/>
        </w:rPr>
        <w:t>museme</w:t>
      </w:r>
      <w:proofErr w:type="spellEnd"/>
      <w:r w:rsidRPr="001C6236">
        <w:rPr>
          <w:lang w:val="en-GB"/>
        </w:rPr>
        <w:t>’,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‘indexical signal-vehicle’, and ‘</w:t>
      </w:r>
      <w:proofErr w:type="spellStart"/>
      <w:r w:rsidRPr="001C6236">
        <w:rPr>
          <w:lang w:val="en-GB"/>
        </w:rPr>
        <w:t>parapitch</w:t>
      </w:r>
      <w:proofErr w:type="spellEnd"/>
      <w:r w:rsidRPr="001C6236">
        <w:rPr>
          <w:lang w:val="en-GB"/>
        </w:rPr>
        <w:t xml:space="preserve">’. A </w:t>
      </w:r>
      <w:proofErr w:type="spellStart"/>
      <w:r w:rsidRPr="001C6236">
        <w:rPr>
          <w:lang w:val="en-GB"/>
        </w:rPr>
        <w:t>museme</w:t>
      </w:r>
      <w:proofErr w:type="spellEnd"/>
      <w:r w:rsidRPr="001C6236">
        <w:rPr>
          <w:lang w:val="en-GB"/>
        </w:rPr>
        <w:t xml:space="preserve"> is a formulaic unit of musical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 xml:space="preserve">meaning in a given (here liturgical) context. The microtonal </w:t>
      </w:r>
      <w:proofErr w:type="spellStart"/>
      <w:r w:rsidRPr="001C6236">
        <w:rPr>
          <w:lang w:val="en-GB"/>
        </w:rPr>
        <w:t>museme</w:t>
      </w:r>
      <w:proofErr w:type="spellEnd"/>
      <w:r w:rsidRPr="001C6236">
        <w:rPr>
          <w:lang w:val="en-GB"/>
        </w:rPr>
        <w:t xml:space="preserve"> as an indexical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 xml:space="preserve">signal-vehicle, </w:t>
      </w:r>
      <w:r w:rsidRPr="001C6236">
        <w:rPr>
          <w:i/>
          <w:iCs/>
          <w:lang w:val="en-GB"/>
        </w:rPr>
        <w:t xml:space="preserve">by definition </w:t>
      </w:r>
      <w:r w:rsidRPr="001C6236">
        <w:rPr>
          <w:lang w:val="en-GB"/>
        </w:rPr>
        <w:t xml:space="preserve">(‘indexical’), addresses </w:t>
      </w:r>
      <w:r w:rsidRPr="001C6236">
        <w:rPr>
          <w:i/>
          <w:iCs/>
          <w:lang w:val="en-GB"/>
        </w:rPr>
        <w:t xml:space="preserve">references </w:t>
      </w:r>
      <w:r w:rsidRPr="001C6236">
        <w:rPr>
          <w:lang w:val="en-GB"/>
        </w:rPr>
        <w:t>to meanings in the chain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of events between writing, reading, performing, and hearing formulaic units. In these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 xml:space="preserve">contexts, I define the microtonal inflection as a </w:t>
      </w:r>
      <w:proofErr w:type="spellStart"/>
      <w:r w:rsidRPr="001C6236">
        <w:rPr>
          <w:lang w:val="en-GB"/>
        </w:rPr>
        <w:t>parapitch</w:t>
      </w:r>
      <w:proofErr w:type="spellEnd"/>
      <w:r w:rsidRPr="001C6236">
        <w:rPr>
          <w:lang w:val="en-GB"/>
        </w:rPr>
        <w:t>, a pitch that by definition carries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both melodic and textual properties.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The results of my analyses will hopefully contribute to the discourse about the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lastRenderedPageBreak/>
        <w:t>restitution of a melodic tradition by an improved understanding of comparative dating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between older and younger traditions based upon an increased awareness of the intricacies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of the widespread rhetorical and formulaic tradition which seems to have been gradually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 xml:space="preserve">disintegrating since its earliest notations discovered thus far. By acknowledging </w:t>
      </w:r>
      <w:proofErr w:type="spellStart"/>
      <w:r w:rsidRPr="001C6236">
        <w:rPr>
          <w:lang w:val="en-GB"/>
        </w:rPr>
        <w:t>nondiatonic</w:t>
      </w:r>
      <w:proofErr w:type="spellEnd"/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elements in the restitution of Romano-Frankish chant and successively stepping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 xml:space="preserve">over the </w:t>
      </w:r>
      <w:proofErr w:type="spellStart"/>
      <w:r w:rsidRPr="001C6236">
        <w:rPr>
          <w:lang w:val="en-GB"/>
        </w:rPr>
        <w:t>Guidonian</w:t>
      </w:r>
      <w:proofErr w:type="spellEnd"/>
      <w:r w:rsidRPr="001C6236">
        <w:rPr>
          <w:lang w:val="en-GB"/>
        </w:rPr>
        <w:t xml:space="preserve"> threshold of diatonic modality, it could considerably shift the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chronological horizon for reasoned restitutions.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The otherness of the microtonal pitch in a diatonic environment is an auditive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experience that directs the attention of the audience towards the word in which this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otherness is applied. Rhetorical principles and guidelines catalyse the communication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intended between the scribe, the performer, and the audience. If opponents of the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microtonal interpretation of special signs and adapted neumes maintain their rejective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stance, they will have to oppose the palaeographical and historical arguments presented in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Chapter I, which revaluate previous research. In addition, they will have to introduce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alternative distinctive sonic qualities for the special signs and adapted neumes that match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the effect of microtonal inflections in the context presented here.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Additional explorations seem to indicate that against the same background of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 xml:space="preserve">otherness, a number of </w:t>
      </w:r>
      <w:proofErr w:type="spellStart"/>
      <w:r w:rsidRPr="001C6236">
        <w:rPr>
          <w:lang w:val="en-GB"/>
        </w:rPr>
        <w:t>musemes</w:t>
      </w:r>
      <w:proofErr w:type="spellEnd"/>
      <w:r w:rsidRPr="001C6236">
        <w:rPr>
          <w:lang w:val="en-GB"/>
        </w:rPr>
        <w:t xml:space="preserve"> had the same function: non-diatonic semitones, emphatic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phrases, modal shifts, and liquescent notes. Results shown in APPENDIX VI that link Ult2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with the tenth-century manuscripts Sankt Gallen SG 390 and SG 391 strongly suggest that</w:t>
      </w:r>
    </w:p>
    <w:p w:rsidR="001C6236" w:rsidRPr="001C6236" w:rsidRDefault="001C6236" w:rsidP="001C6236">
      <w:pPr>
        <w:rPr>
          <w:lang w:val="en-GB"/>
        </w:rPr>
      </w:pPr>
      <w:proofErr w:type="spellStart"/>
      <w:r w:rsidRPr="001C6236">
        <w:rPr>
          <w:i/>
          <w:iCs/>
          <w:lang w:val="en-GB"/>
        </w:rPr>
        <w:t>litterae</w:t>
      </w:r>
      <w:proofErr w:type="spellEnd"/>
      <w:r w:rsidRPr="001C6236">
        <w:rPr>
          <w:i/>
          <w:iCs/>
          <w:lang w:val="en-GB"/>
        </w:rPr>
        <w:t xml:space="preserve"> </w:t>
      </w:r>
      <w:proofErr w:type="spellStart"/>
      <w:r w:rsidRPr="001C6236">
        <w:rPr>
          <w:i/>
          <w:iCs/>
          <w:lang w:val="en-GB"/>
        </w:rPr>
        <w:t>significativae</w:t>
      </w:r>
      <w:proofErr w:type="spellEnd"/>
      <w:r w:rsidRPr="001C6236">
        <w:rPr>
          <w:i/>
          <w:iCs/>
          <w:lang w:val="en-GB"/>
        </w:rPr>
        <w:t xml:space="preserve"> </w:t>
      </w:r>
      <w:r w:rsidRPr="001C6236">
        <w:rPr>
          <w:lang w:val="en-GB"/>
        </w:rPr>
        <w:t>other than the letter ‘s’ in Ult2 are bearers of the same semiotic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 xml:space="preserve">tradition. The common denominator of all </w:t>
      </w:r>
      <w:proofErr w:type="spellStart"/>
      <w:r w:rsidRPr="001C6236">
        <w:rPr>
          <w:lang w:val="en-GB"/>
        </w:rPr>
        <w:t>musemes</w:t>
      </w:r>
      <w:proofErr w:type="spellEnd"/>
      <w:r w:rsidRPr="001C6236">
        <w:rPr>
          <w:lang w:val="en-GB"/>
        </w:rPr>
        <w:t xml:space="preserve">, </w:t>
      </w:r>
      <w:proofErr w:type="spellStart"/>
      <w:r w:rsidRPr="001C6236">
        <w:rPr>
          <w:lang w:val="en-GB"/>
        </w:rPr>
        <w:t>formulaicy</w:t>
      </w:r>
      <w:proofErr w:type="spellEnd"/>
      <w:r w:rsidRPr="001C6236">
        <w:rPr>
          <w:lang w:val="en-GB"/>
        </w:rPr>
        <w:t>, is a compound concept,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both consisting of ‘standard’ properties of a core repertory against which notions of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otherness apply contrasts and connecting the melody to verbal meaning.</w:t>
      </w:r>
    </w:p>
    <w:p w:rsidR="001C6236" w:rsidRPr="001C6236" w:rsidRDefault="001C6236" w:rsidP="001C6236">
      <w:pPr>
        <w:rPr>
          <w:lang w:val="en-GB"/>
        </w:rPr>
      </w:pPr>
      <w:proofErr w:type="spellStart"/>
      <w:r w:rsidRPr="001C6236">
        <w:rPr>
          <w:lang w:val="en-GB"/>
        </w:rPr>
        <w:t>Formulaicy</w:t>
      </w:r>
      <w:proofErr w:type="spellEnd"/>
      <w:r w:rsidRPr="001C6236">
        <w:rPr>
          <w:lang w:val="en-GB"/>
        </w:rPr>
        <w:t xml:space="preserve">, as defined by Leo </w:t>
      </w:r>
      <w:proofErr w:type="spellStart"/>
      <w:r w:rsidRPr="001C6236">
        <w:rPr>
          <w:lang w:val="en-GB"/>
        </w:rPr>
        <w:t>Treitler</w:t>
      </w:r>
      <w:proofErr w:type="spellEnd"/>
      <w:r w:rsidRPr="001C6236">
        <w:rPr>
          <w:lang w:val="en-GB"/>
        </w:rPr>
        <w:t xml:space="preserve"> in his </w:t>
      </w:r>
      <w:r w:rsidRPr="001C6236">
        <w:rPr>
          <w:i/>
          <w:iCs/>
          <w:lang w:val="en-GB"/>
        </w:rPr>
        <w:t xml:space="preserve">With Voice and Pen </w:t>
      </w:r>
      <w:r w:rsidRPr="001C6236">
        <w:rPr>
          <w:lang w:val="en-GB"/>
        </w:rPr>
        <w:t>and applied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 xml:space="preserve">amongst others by Rebecca </w:t>
      </w:r>
      <w:proofErr w:type="spellStart"/>
      <w:r w:rsidRPr="001C6236">
        <w:rPr>
          <w:lang w:val="en-GB"/>
        </w:rPr>
        <w:t>Maloy</w:t>
      </w:r>
      <w:proofErr w:type="spellEnd"/>
      <w:r w:rsidRPr="001C6236">
        <w:rPr>
          <w:lang w:val="en-GB"/>
        </w:rPr>
        <w:t xml:space="preserve"> in her book </w:t>
      </w:r>
      <w:r w:rsidRPr="001C6236">
        <w:rPr>
          <w:i/>
          <w:iCs/>
          <w:lang w:val="en-GB"/>
        </w:rPr>
        <w:t>Inside the Offertory</w:t>
      </w:r>
      <w:r w:rsidRPr="001C6236">
        <w:rPr>
          <w:lang w:val="en-GB"/>
        </w:rPr>
        <w:t>, refers to a system with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i/>
          <w:iCs/>
          <w:lang w:val="en-GB"/>
        </w:rPr>
        <w:t xml:space="preserve">conditioned </w:t>
      </w:r>
      <w:r w:rsidRPr="001C6236">
        <w:rPr>
          <w:lang w:val="en-GB"/>
        </w:rPr>
        <w:t>formulas. Both authors relate the system to genres characterised by systematic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 xml:space="preserve">constraints of (diatonic) melodies or phrases. The functionality of </w:t>
      </w:r>
      <w:proofErr w:type="spellStart"/>
      <w:r w:rsidRPr="001C6236">
        <w:rPr>
          <w:lang w:val="en-GB"/>
        </w:rPr>
        <w:t>musemes</w:t>
      </w:r>
      <w:proofErr w:type="spellEnd"/>
      <w:r w:rsidRPr="001C6236">
        <w:rPr>
          <w:lang w:val="en-GB"/>
        </w:rPr>
        <w:t xml:space="preserve"> widens the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 xml:space="preserve">concept of </w:t>
      </w:r>
      <w:proofErr w:type="spellStart"/>
      <w:r w:rsidRPr="001C6236">
        <w:rPr>
          <w:lang w:val="en-GB"/>
        </w:rPr>
        <w:t>formulaicy</w:t>
      </w:r>
      <w:proofErr w:type="spellEnd"/>
      <w:r w:rsidRPr="001C6236">
        <w:rPr>
          <w:lang w:val="en-GB"/>
        </w:rPr>
        <w:t xml:space="preserve"> not only to word-pitch relations, but also to both formulaic and nonformulaic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chants. For instance, microtonal inflections occur in all Mass genres and (based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upon the sample in this study) there are no indications that non-diatonic semitones as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lastRenderedPageBreak/>
        <w:t xml:space="preserve">observed in Ult2 would behave differently in this respect. Other formulaic </w:t>
      </w:r>
      <w:proofErr w:type="spellStart"/>
      <w:r w:rsidRPr="001C6236">
        <w:rPr>
          <w:lang w:val="en-GB"/>
        </w:rPr>
        <w:t>musemes</w:t>
      </w:r>
      <w:proofErr w:type="spellEnd"/>
      <w:r w:rsidRPr="001C6236">
        <w:rPr>
          <w:lang w:val="en-GB"/>
        </w:rPr>
        <w:t>, such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as emphatic phrases, function only in a formulaic genre, as the otherness of this melodic</w:t>
      </w:r>
    </w:p>
    <w:p w:rsidR="001C6236" w:rsidRPr="001C6236" w:rsidRDefault="001C6236" w:rsidP="001C6236">
      <w:pPr>
        <w:rPr>
          <w:lang w:val="en-GB"/>
        </w:rPr>
      </w:pPr>
      <w:proofErr w:type="spellStart"/>
      <w:r w:rsidRPr="001C6236">
        <w:rPr>
          <w:lang w:val="en-GB"/>
        </w:rPr>
        <w:t>museme</w:t>
      </w:r>
      <w:proofErr w:type="spellEnd"/>
      <w:r w:rsidRPr="001C6236">
        <w:rPr>
          <w:lang w:val="en-GB"/>
        </w:rPr>
        <w:t xml:space="preserve"> is not defined by pitch, but rather by variant phrasing, which only creates contrasts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in a formulaic setting.</w:t>
      </w:r>
    </w:p>
    <w:p w:rsidR="001C6236" w:rsidRPr="001C6236" w:rsidRDefault="001C6236" w:rsidP="001C6236">
      <w:pPr>
        <w:rPr>
          <w:lang w:val="en-GB"/>
        </w:rPr>
      </w:pPr>
      <w:proofErr w:type="spellStart"/>
      <w:r w:rsidRPr="001C6236">
        <w:rPr>
          <w:lang w:val="en-GB"/>
        </w:rPr>
        <w:t>Treitler</w:t>
      </w:r>
      <w:proofErr w:type="spellEnd"/>
      <w:r w:rsidRPr="001C6236">
        <w:rPr>
          <w:lang w:val="en-GB"/>
        </w:rPr>
        <w:t xml:space="preserve"> and </w:t>
      </w:r>
      <w:proofErr w:type="spellStart"/>
      <w:r w:rsidRPr="001C6236">
        <w:rPr>
          <w:lang w:val="en-GB"/>
        </w:rPr>
        <w:t>Maloy</w:t>
      </w:r>
      <w:proofErr w:type="spellEnd"/>
      <w:r w:rsidRPr="001C6236">
        <w:rPr>
          <w:lang w:val="en-GB"/>
        </w:rPr>
        <w:t xml:space="preserve"> explain the employment of formulaic systems by their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structuring qualities for learning the repertory and transmitting it according to the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 xml:space="preserve">traditions from previous generations. However, in the contexts analysed, </w:t>
      </w:r>
      <w:proofErr w:type="spellStart"/>
      <w:r w:rsidRPr="001C6236">
        <w:rPr>
          <w:lang w:val="en-GB"/>
        </w:rPr>
        <w:t>musemes</w:t>
      </w:r>
      <w:proofErr w:type="spellEnd"/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represent aspects of what I would call ‘contained improvisation’. This expression is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 xml:space="preserve">applicable here for two reasons: the </w:t>
      </w:r>
      <w:proofErr w:type="spellStart"/>
      <w:r w:rsidRPr="001C6236">
        <w:rPr>
          <w:i/>
          <w:iCs/>
          <w:lang w:val="en-GB"/>
        </w:rPr>
        <w:t>auctor</w:t>
      </w:r>
      <w:proofErr w:type="spellEnd"/>
      <w:r w:rsidRPr="001C6236">
        <w:rPr>
          <w:i/>
          <w:iCs/>
          <w:lang w:val="en-GB"/>
        </w:rPr>
        <w:t xml:space="preserve"> </w:t>
      </w:r>
      <w:r w:rsidRPr="001C6236">
        <w:rPr>
          <w:lang w:val="en-GB"/>
        </w:rPr>
        <w:t xml:space="preserve">may choose to apply a </w:t>
      </w:r>
      <w:proofErr w:type="spellStart"/>
      <w:r w:rsidRPr="001C6236">
        <w:rPr>
          <w:lang w:val="en-GB"/>
        </w:rPr>
        <w:t>museme</w:t>
      </w:r>
      <w:proofErr w:type="spellEnd"/>
      <w:r w:rsidRPr="001C6236">
        <w:rPr>
          <w:lang w:val="en-GB"/>
        </w:rPr>
        <w:t xml:space="preserve"> or not, which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is an element of individual choice. For performers, it can be typified as improvisational.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The second reason is that ‘contained’ refers to the strictly defined formal and rhetorical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conditions under which they can be employed. Demarcations of otherness are formally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 xml:space="preserve">strictly defined; in addition, </w:t>
      </w:r>
      <w:proofErr w:type="spellStart"/>
      <w:r w:rsidRPr="001C6236">
        <w:rPr>
          <w:lang w:val="en-GB"/>
        </w:rPr>
        <w:t>musemes</w:t>
      </w:r>
      <w:proofErr w:type="spellEnd"/>
      <w:r w:rsidRPr="001C6236">
        <w:rPr>
          <w:lang w:val="en-GB"/>
        </w:rPr>
        <w:t xml:space="preserve"> can semiotically be categorised as indexical </w:t>
      </w:r>
      <w:proofErr w:type="spellStart"/>
      <w:r w:rsidRPr="001C6236">
        <w:rPr>
          <w:lang w:val="en-GB"/>
        </w:rPr>
        <w:t>signalvehicles</w:t>
      </w:r>
      <w:proofErr w:type="spellEnd"/>
      <w:r w:rsidRPr="001C6236">
        <w:rPr>
          <w:lang w:val="en-GB"/>
        </w:rPr>
        <w:t>,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i/>
          <w:iCs/>
          <w:lang w:val="en-GB"/>
        </w:rPr>
        <w:t xml:space="preserve">by definition </w:t>
      </w:r>
      <w:r w:rsidRPr="001C6236">
        <w:rPr>
          <w:lang w:val="en-GB"/>
        </w:rPr>
        <w:t>referring to some content, further specified in the verbal text and in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 xml:space="preserve">the actual liturgical context. When the trained audience perceived the </w:t>
      </w:r>
      <w:proofErr w:type="spellStart"/>
      <w:r w:rsidRPr="001C6236">
        <w:rPr>
          <w:lang w:val="en-GB"/>
        </w:rPr>
        <w:t>museme’s</w:t>
      </w:r>
      <w:proofErr w:type="spellEnd"/>
      <w:r w:rsidRPr="001C6236">
        <w:rPr>
          <w:lang w:val="en-GB"/>
        </w:rPr>
        <w:t xml:space="preserve"> otherness,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 xml:space="preserve">it </w:t>
      </w:r>
      <w:r w:rsidRPr="001C6236">
        <w:rPr>
          <w:i/>
          <w:iCs/>
          <w:lang w:val="en-GB"/>
        </w:rPr>
        <w:t xml:space="preserve">knew </w:t>
      </w:r>
      <w:r w:rsidRPr="001C6236">
        <w:rPr>
          <w:lang w:val="en-GB"/>
        </w:rPr>
        <w:t>that a rhetorical annotation was implied. Rhetoric was the catalyst of the implied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communicative process and was needed to convey meanings and codes.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 xml:space="preserve">As far as </w:t>
      </w:r>
      <w:proofErr w:type="spellStart"/>
      <w:r w:rsidRPr="001C6236">
        <w:rPr>
          <w:lang w:val="en-GB"/>
        </w:rPr>
        <w:t>musemes</w:t>
      </w:r>
      <w:proofErr w:type="spellEnd"/>
      <w:r w:rsidRPr="001C6236">
        <w:rPr>
          <w:lang w:val="en-GB"/>
        </w:rPr>
        <w:t xml:space="preserve"> have a diatonic background (all except the microtonal inflection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and the non-diatonic semitone), hypothesising in the Carolingian religious context, which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stressed formalistic issues, they presumably soon blended unobtrusively as formulas into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the diatonic main frame. The disappearance of emphatic phrases in younger Carolingian</w:t>
      </w:r>
    </w:p>
    <w:p w:rsidR="001C6236" w:rsidRPr="001C6236" w:rsidRDefault="001C6236" w:rsidP="001C6236">
      <w:pPr>
        <w:rPr>
          <w:lang w:val="en-GB"/>
        </w:rPr>
      </w:pPr>
      <w:proofErr w:type="spellStart"/>
      <w:r w:rsidRPr="001C6236">
        <w:rPr>
          <w:lang w:val="en-GB"/>
        </w:rPr>
        <w:t>tractus</w:t>
      </w:r>
      <w:proofErr w:type="spellEnd"/>
      <w:r w:rsidRPr="001C6236">
        <w:rPr>
          <w:lang w:val="en-GB"/>
        </w:rPr>
        <w:t xml:space="preserve"> compositions may be a general indication for the reduced formulaic reception of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 xml:space="preserve">diatonic </w:t>
      </w:r>
      <w:proofErr w:type="spellStart"/>
      <w:r w:rsidRPr="001C6236">
        <w:rPr>
          <w:lang w:val="en-GB"/>
        </w:rPr>
        <w:t>musemes</w:t>
      </w:r>
      <w:proofErr w:type="spellEnd"/>
      <w:r w:rsidRPr="001C6236">
        <w:rPr>
          <w:lang w:val="en-GB"/>
        </w:rPr>
        <w:t xml:space="preserve"> at the time. In semiotic terms, the codes implied by the indexical </w:t>
      </w:r>
      <w:proofErr w:type="spellStart"/>
      <w:r w:rsidRPr="001C6236">
        <w:rPr>
          <w:lang w:val="en-GB"/>
        </w:rPr>
        <w:t>signalvehicles</w:t>
      </w:r>
      <w:proofErr w:type="spellEnd"/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indicating the presence of rhetorically important text elements were lost. Without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 xml:space="preserve">its rhetorical footing, the closed semiotic circuit – in which encoded </w:t>
      </w:r>
      <w:proofErr w:type="spellStart"/>
      <w:r w:rsidRPr="001C6236">
        <w:rPr>
          <w:lang w:val="en-GB"/>
        </w:rPr>
        <w:t>musemes</w:t>
      </w:r>
      <w:proofErr w:type="spellEnd"/>
      <w:r w:rsidRPr="001C6236">
        <w:rPr>
          <w:lang w:val="en-GB"/>
        </w:rPr>
        <w:t xml:space="preserve"> as indexical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signal-vehicles were passed from the scribe to the performer and from the latter to the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audience – was disrupted. What remained of the emphatic diatonic phrases were formulas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to be learned by heart but without the same meanings that they had previously contained.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Microtonal inflections, audibly more distinct than diatonic emphatic phrases, continued to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 xml:space="preserve">be employed, be it at a reduced rate in comparison to the older </w:t>
      </w:r>
      <w:proofErr w:type="spellStart"/>
      <w:r w:rsidRPr="001C6236">
        <w:rPr>
          <w:lang w:val="en-GB"/>
        </w:rPr>
        <w:t>tractus</w:t>
      </w:r>
      <w:proofErr w:type="spellEnd"/>
      <w:r w:rsidRPr="001C6236">
        <w:rPr>
          <w:lang w:val="en-GB"/>
        </w:rPr>
        <w:t>. This diachronic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interpretation implicitly assumes that the written sources reflect that the younger tradition,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lastRenderedPageBreak/>
        <w:t>predominantly motivated by formalistic considerations, copied the microtonal inflections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 xml:space="preserve">from the older tradition and assimilated the microtonal </w:t>
      </w:r>
      <w:proofErr w:type="spellStart"/>
      <w:r w:rsidRPr="001C6236">
        <w:rPr>
          <w:lang w:val="en-GB"/>
        </w:rPr>
        <w:t>musemes</w:t>
      </w:r>
      <w:proofErr w:type="spellEnd"/>
      <w:r w:rsidRPr="001C6236">
        <w:rPr>
          <w:lang w:val="en-GB"/>
        </w:rPr>
        <w:t xml:space="preserve"> in their idiom as an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intrinsic part of their culture, but that they employed the technique less frequently. At the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present state of analysis, it is unclear whether ‘younger’ and ‘older’ can be substituted with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‘Carolingian’ and ‘Roman’ respectively.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The same diachronic loss of rhetorical meaning seems to apply to a number of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modal shifts, two of which were analysed in more detail. Prior to the emergence of modal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 xml:space="preserve">systems, introduced by the Carolingians, shifts in </w:t>
      </w:r>
      <w:proofErr w:type="spellStart"/>
      <w:r w:rsidRPr="001C6236">
        <w:rPr>
          <w:lang w:val="en-GB"/>
        </w:rPr>
        <w:t>tetrachordial</w:t>
      </w:r>
      <w:proofErr w:type="spellEnd"/>
      <w:r w:rsidRPr="001C6236">
        <w:rPr>
          <w:lang w:val="en-GB"/>
        </w:rPr>
        <w:t xml:space="preserve"> diatonic tonal areas as such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 xml:space="preserve">may have been formulaic </w:t>
      </w:r>
      <w:proofErr w:type="spellStart"/>
      <w:r w:rsidRPr="001C6236">
        <w:rPr>
          <w:lang w:val="en-GB"/>
        </w:rPr>
        <w:t>musemes</w:t>
      </w:r>
      <w:proofErr w:type="spellEnd"/>
      <w:r w:rsidRPr="001C6236">
        <w:rPr>
          <w:lang w:val="en-GB"/>
        </w:rPr>
        <w:t xml:space="preserve">. The example </w:t>
      </w:r>
      <w:r w:rsidRPr="001C6236">
        <w:rPr>
          <w:i/>
          <w:iCs/>
          <w:lang w:val="en-GB"/>
        </w:rPr>
        <w:t xml:space="preserve">Dum medium </w:t>
      </w:r>
      <w:proofErr w:type="spellStart"/>
      <w:r w:rsidRPr="001C6236">
        <w:rPr>
          <w:i/>
          <w:iCs/>
          <w:lang w:val="en-GB"/>
        </w:rPr>
        <w:t>silentium</w:t>
      </w:r>
      <w:proofErr w:type="spellEnd"/>
      <w:r w:rsidRPr="001C6236">
        <w:rPr>
          <w:i/>
          <w:iCs/>
          <w:lang w:val="en-GB"/>
        </w:rPr>
        <w:t xml:space="preserve"> </w:t>
      </w:r>
      <w:r w:rsidRPr="001C6236">
        <w:rPr>
          <w:lang w:val="en-GB"/>
        </w:rPr>
        <w:t>would refer to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 xml:space="preserve">such a shift, coinciding with a microtonal inflection as a ‘stacked’ </w:t>
      </w:r>
      <w:proofErr w:type="spellStart"/>
      <w:r w:rsidRPr="001C6236">
        <w:rPr>
          <w:lang w:val="en-GB"/>
        </w:rPr>
        <w:t>museme</w:t>
      </w:r>
      <w:proofErr w:type="spellEnd"/>
      <w:r w:rsidRPr="001C6236">
        <w:rPr>
          <w:lang w:val="en-GB"/>
        </w:rPr>
        <w:t>. I explained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 xml:space="preserve">the coincidental occurrence of the stacked </w:t>
      </w:r>
      <w:proofErr w:type="spellStart"/>
      <w:r w:rsidRPr="001C6236">
        <w:rPr>
          <w:lang w:val="en-GB"/>
        </w:rPr>
        <w:t>musemes</w:t>
      </w:r>
      <w:proofErr w:type="spellEnd"/>
      <w:r w:rsidRPr="001C6236">
        <w:rPr>
          <w:lang w:val="en-GB"/>
        </w:rPr>
        <w:t xml:space="preserve"> by the disrupted semiotic circuit of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 xml:space="preserve">the diatonic modal </w:t>
      </w:r>
      <w:proofErr w:type="spellStart"/>
      <w:r w:rsidRPr="001C6236">
        <w:rPr>
          <w:lang w:val="en-GB"/>
        </w:rPr>
        <w:t>museme</w:t>
      </w:r>
      <w:proofErr w:type="spellEnd"/>
      <w:r w:rsidRPr="001C6236">
        <w:rPr>
          <w:lang w:val="en-GB"/>
        </w:rPr>
        <w:t xml:space="preserve"> against a continued perception of the microtonal </w:t>
      </w:r>
      <w:proofErr w:type="spellStart"/>
      <w:r w:rsidRPr="001C6236">
        <w:rPr>
          <w:lang w:val="en-GB"/>
        </w:rPr>
        <w:t>museme</w:t>
      </w:r>
      <w:proofErr w:type="spellEnd"/>
      <w:r w:rsidRPr="001C6236">
        <w:rPr>
          <w:lang w:val="en-GB"/>
        </w:rPr>
        <w:t>. The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 xml:space="preserve">other example, the modal shift in the communion </w:t>
      </w:r>
      <w:proofErr w:type="spellStart"/>
      <w:r w:rsidRPr="001C6236">
        <w:rPr>
          <w:i/>
          <w:iCs/>
          <w:lang w:val="en-GB"/>
        </w:rPr>
        <w:t>Beatus</w:t>
      </w:r>
      <w:proofErr w:type="spellEnd"/>
      <w:r w:rsidRPr="001C6236">
        <w:rPr>
          <w:i/>
          <w:iCs/>
          <w:lang w:val="en-GB"/>
        </w:rPr>
        <w:t xml:space="preserve"> </w:t>
      </w:r>
      <w:proofErr w:type="spellStart"/>
      <w:r w:rsidRPr="001C6236">
        <w:rPr>
          <w:i/>
          <w:iCs/>
          <w:lang w:val="en-GB"/>
        </w:rPr>
        <w:t>servus</w:t>
      </w:r>
      <w:proofErr w:type="spellEnd"/>
      <w:r w:rsidRPr="001C6236">
        <w:rPr>
          <w:lang w:val="en-GB"/>
        </w:rPr>
        <w:t>, has a more complicated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background. The explanation assumes an underlying tonal construct as reflected in the</w:t>
      </w:r>
    </w:p>
    <w:p w:rsidR="001C6236" w:rsidRPr="001C6236" w:rsidRDefault="001C6236" w:rsidP="001C6236">
      <w:pPr>
        <w:rPr>
          <w:lang w:val="en-GB"/>
        </w:rPr>
      </w:pPr>
      <w:proofErr w:type="spellStart"/>
      <w:r w:rsidRPr="001C6236">
        <w:rPr>
          <w:i/>
          <w:iCs/>
          <w:lang w:val="en-GB"/>
        </w:rPr>
        <w:t>Scolica</w:t>
      </w:r>
      <w:proofErr w:type="spellEnd"/>
      <w:r w:rsidRPr="001C6236">
        <w:rPr>
          <w:i/>
          <w:iCs/>
          <w:lang w:val="en-GB"/>
        </w:rPr>
        <w:t xml:space="preserve"> </w:t>
      </w:r>
      <w:proofErr w:type="spellStart"/>
      <w:r w:rsidRPr="001C6236">
        <w:rPr>
          <w:i/>
          <w:iCs/>
          <w:lang w:val="en-GB"/>
        </w:rPr>
        <w:t>Enchiriadis</w:t>
      </w:r>
      <w:proofErr w:type="spellEnd"/>
      <w:r w:rsidRPr="001C6236">
        <w:rPr>
          <w:lang w:val="en-GB"/>
        </w:rPr>
        <w:t xml:space="preserve">, which allows for a number of </w:t>
      </w:r>
      <w:proofErr w:type="spellStart"/>
      <w:r w:rsidRPr="001C6236">
        <w:rPr>
          <w:lang w:val="en-GB"/>
        </w:rPr>
        <w:t>semitonal</w:t>
      </w:r>
      <w:proofErr w:type="spellEnd"/>
      <w:r w:rsidRPr="001C6236">
        <w:rPr>
          <w:lang w:val="en-GB"/>
        </w:rPr>
        <w:t xml:space="preserve"> alterations. The analysis by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Charles Atkinson reveals the non-diatonic semitones avoided by the corrective intentions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 xml:space="preserve">of the </w:t>
      </w:r>
      <w:proofErr w:type="spellStart"/>
      <w:r w:rsidRPr="001C6236">
        <w:rPr>
          <w:i/>
          <w:iCs/>
          <w:lang w:val="en-GB"/>
        </w:rPr>
        <w:t>auctor</w:t>
      </w:r>
      <w:proofErr w:type="spellEnd"/>
      <w:r w:rsidRPr="001C6236">
        <w:rPr>
          <w:lang w:val="en-GB"/>
        </w:rPr>
        <w:t>. The latter modal shifts were inserted in order to avoid the semitones that did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not fit in the diatonic notation. An analysis of these non-diatonic semitones, only now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 xml:space="preserve">perceived as </w:t>
      </w:r>
      <w:proofErr w:type="spellStart"/>
      <w:r w:rsidRPr="001C6236">
        <w:rPr>
          <w:lang w:val="en-GB"/>
        </w:rPr>
        <w:t>parapitches</w:t>
      </w:r>
      <w:proofErr w:type="spellEnd"/>
      <w:r w:rsidRPr="001C6236">
        <w:rPr>
          <w:lang w:val="en-GB"/>
        </w:rPr>
        <w:t xml:space="preserve">, reveals their </w:t>
      </w:r>
      <w:proofErr w:type="spellStart"/>
      <w:r w:rsidRPr="001C6236">
        <w:rPr>
          <w:lang w:val="en-GB"/>
        </w:rPr>
        <w:t>museme</w:t>
      </w:r>
      <w:proofErr w:type="spellEnd"/>
      <w:r w:rsidRPr="001C6236">
        <w:rPr>
          <w:lang w:val="en-GB"/>
        </w:rPr>
        <w:t>-character, as they seem to confirm a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rhetorical intention when related to the text in which these pitches are applied. As an echo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of the former non-diatonic semitones, microtonal inflections appear as replacements for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the non-diatonic semitones in some manuscripts. The confusing employment of ‘wrong’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semitones in diatonic chant may have been the cause for the earlier and almost unanimous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 xml:space="preserve">rejection of this practice. Dirk van </w:t>
      </w:r>
      <w:proofErr w:type="spellStart"/>
      <w:r w:rsidRPr="001C6236">
        <w:rPr>
          <w:lang w:val="en-GB"/>
        </w:rPr>
        <w:t>Betteray</w:t>
      </w:r>
      <w:proofErr w:type="spellEnd"/>
      <w:r w:rsidRPr="001C6236">
        <w:rPr>
          <w:lang w:val="en-GB"/>
        </w:rPr>
        <w:t xml:space="preserve"> demonstrated the rhetorical background of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liquescent notes, which as short diatonic additions to the melody could be applied without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further problems when pronouncing consonants.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 xml:space="preserve">On the one hand, the </w:t>
      </w:r>
      <w:proofErr w:type="spellStart"/>
      <w:r w:rsidRPr="001C6236">
        <w:rPr>
          <w:lang w:val="en-GB"/>
        </w:rPr>
        <w:t>museme</w:t>
      </w:r>
      <w:proofErr w:type="spellEnd"/>
      <w:r w:rsidRPr="001C6236">
        <w:rPr>
          <w:lang w:val="en-GB"/>
        </w:rPr>
        <w:t xml:space="preserve"> </w:t>
      </w:r>
      <w:proofErr w:type="spellStart"/>
      <w:r w:rsidRPr="001C6236">
        <w:rPr>
          <w:lang w:val="en-GB"/>
        </w:rPr>
        <w:t>formulaicy</w:t>
      </w:r>
      <w:proofErr w:type="spellEnd"/>
      <w:r w:rsidRPr="001C6236">
        <w:rPr>
          <w:lang w:val="en-GB"/>
        </w:rPr>
        <w:t xml:space="preserve"> is conditioned by text, rhetoric, and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personal interpretation. Avoiding overkill is an often-quoted rhetorical guideline and limits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 xml:space="preserve">the possibilities of the </w:t>
      </w:r>
      <w:proofErr w:type="spellStart"/>
      <w:r w:rsidRPr="001C6236">
        <w:rPr>
          <w:i/>
          <w:iCs/>
          <w:lang w:val="en-GB"/>
        </w:rPr>
        <w:t>auctor</w:t>
      </w:r>
      <w:proofErr w:type="spellEnd"/>
      <w:r w:rsidRPr="001C6236">
        <w:rPr>
          <w:i/>
          <w:iCs/>
          <w:lang w:val="en-GB"/>
        </w:rPr>
        <w:t xml:space="preserve"> </w:t>
      </w:r>
      <w:r w:rsidRPr="001C6236">
        <w:rPr>
          <w:lang w:val="en-GB"/>
        </w:rPr>
        <w:t xml:space="preserve">applying </w:t>
      </w:r>
      <w:proofErr w:type="spellStart"/>
      <w:r w:rsidRPr="001C6236">
        <w:rPr>
          <w:lang w:val="en-GB"/>
        </w:rPr>
        <w:t>musemes</w:t>
      </w:r>
      <w:proofErr w:type="spellEnd"/>
      <w:r w:rsidRPr="001C6236">
        <w:rPr>
          <w:lang w:val="en-GB"/>
        </w:rPr>
        <w:t>. These elements define whether the</w:t>
      </w:r>
    </w:p>
    <w:p w:rsidR="001C6236" w:rsidRPr="001C6236" w:rsidRDefault="001C6236" w:rsidP="001C6236">
      <w:pPr>
        <w:rPr>
          <w:lang w:val="en-GB"/>
        </w:rPr>
      </w:pPr>
      <w:proofErr w:type="spellStart"/>
      <w:r w:rsidRPr="001C6236">
        <w:rPr>
          <w:lang w:val="en-GB"/>
        </w:rPr>
        <w:t>museme</w:t>
      </w:r>
      <w:proofErr w:type="spellEnd"/>
      <w:r w:rsidRPr="001C6236">
        <w:rPr>
          <w:lang w:val="en-GB"/>
        </w:rPr>
        <w:t xml:space="preserve"> as written or performed contributed to </w:t>
      </w:r>
      <w:proofErr w:type="spellStart"/>
      <w:r w:rsidRPr="001C6236">
        <w:rPr>
          <w:i/>
          <w:iCs/>
          <w:lang w:val="en-GB"/>
        </w:rPr>
        <w:t>modulare</w:t>
      </w:r>
      <w:proofErr w:type="spellEnd"/>
      <w:r w:rsidRPr="001C6236">
        <w:rPr>
          <w:i/>
          <w:iCs/>
          <w:lang w:val="en-GB"/>
        </w:rPr>
        <w:t xml:space="preserve"> bene</w:t>
      </w:r>
      <w:r w:rsidRPr="001C6236">
        <w:rPr>
          <w:lang w:val="en-GB"/>
        </w:rPr>
        <w:t>. On the other hand, when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 xml:space="preserve">applying microtonal inflections, an </w:t>
      </w:r>
      <w:proofErr w:type="spellStart"/>
      <w:r w:rsidRPr="001C6236">
        <w:rPr>
          <w:i/>
          <w:iCs/>
          <w:lang w:val="en-GB"/>
        </w:rPr>
        <w:t>auctor</w:t>
      </w:r>
      <w:proofErr w:type="spellEnd"/>
      <w:r w:rsidRPr="001C6236">
        <w:rPr>
          <w:i/>
          <w:iCs/>
          <w:lang w:val="en-GB"/>
        </w:rPr>
        <w:t xml:space="preserve"> </w:t>
      </w:r>
      <w:r w:rsidRPr="001C6236">
        <w:rPr>
          <w:lang w:val="en-GB"/>
        </w:rPr>
        <w:t>has to also respect musical constraints if the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lastRenderedPageBreak/>
        <w:t xml:space="preserve">findings of the second-mode </w:t>
      </w:r>
      <w:proofErr w:type="spellStart"/>
      <w:r w:rsidRPr="001C6236">
        <w:rPr>
          <w:lang w:val="en-GB"/>
        </w:rPr>
        <w:t>tractus</w:t>
      </w:r>
      <w:proofErr w:type="spellEnd"/>
      <w:r w:rsidRPr="001C6236">
        <w:rPr>
          <w:lang w:val="en-GB"/>
        </w:rPr>
        <w:t xml:space="preserve"> analysis are representative for all employments of the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 xml:space="preserve">microtonal inflection. The constraints, again, seem to underline the </w:t>
      </w:r>
      <w:proofErr w:type="spellStart"/>
      <w:r w:rsidRPr="001C6236">
        <w:rPr>
          <w:lang w:val="en-GB"/>
        </w:rPr>
        <w:t>formulaicy</w:t>
      </w:r>
      <w:proofErr w:type="spellEnd"/>
      <w:r w:rsidRPr="001C6236">
        <w:rPr>
          <w:lang w:val="en-GB"/>
        </w:rPr>
        <w:t xml:space="preserve"> as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otherness in relation to a diatonic framework. It apparently belonged to the rules of</w:t>
      </w:r>
    </w:p>
    <w:p w:rsidR="001C6236" w:rsidRPr="001C6236" w:rsidRDefault="001C6236" w:rsidP="001C6236">
      <w:pPr>
        <w:rPr>
          <w:lang w:val="en-GB"/>
        </w:rPr>
      </w:pPr>
      <w:proofErr w:type="spellStart"/>
      <w:r w:rsidRPr="001C6236">
        <w:rPr>
          <w:i/>
          <w:iCs/>
          <w:lang w:val="en-GB"/>
        </w:rPr>
        <w:t>modulare</w:t>
      </w:r>
      <w:proofErr w:type="spellEnd"/>
      <w:r w:rsidRPr="001C6236">
        <w:rPr>
          <w:i/>
          <w:iCs/>
          <w:lang w:val="en-GB"/>
        </w:rPr>
        <w:t xml:space="preserve"> </w:t>
      </w:r>
      <w:proofErr w:type="spellStart"/>
      <w:r w:rsidRPr="001C6236">
        <w:rPr>
          <w:i/>
          <w:iCs/>
          <w:lang w:val="en-GB"/>
        </w:rPr>
        <w:t>recte</w:t>
      </w:r>
      <w:proofErr w:type="spellEnd"/>
      <w:r w:rsidRPr="001C6236">
        <w:rPr>
          <w:lang w:val="en-GB"/>
        </w:rPr>
        <w:t>, employing microtonal inflections only if immediately preceded by a</w:t>
      </w:r>
    </w:p>
    <w:p w:rsidR="001C6236" w:rsidRPr="001C6236" w:rsidRDefault="001C6236" w:rsidP="001C6236">
      <w:pPr>
        <w:rPr>
          <w:lang w:val="en-GB"/>
        </w:rPr>
      </w:pPr>
      <w:proofErr w:type="spellStart"/>
      <w:r w:rsidRPr="001C6236">
        <w:rPr>
          <w:lang w:val="en-GB"/>
        </w:rPr>
        <w:t>supersemitonal</w:t>
      </w:r>
      <w:proofErr w:type="spellEnd"/>
      <w:r w:rsidRPr="001C6236">
        <w:rPr>
          <w:lang w:val="en-GB"/>
        </w:rPr>
        <w:t xml:space="preserve"> pitch: </w:t>
      </w:r>
      <w:r w:rsidRPr="001C6236">
        <w:rPr>
          <w:i/>
          <w:iCs/>
          <w:lang w:val="en-GB"/>
        </w:rPr>
        <w:t>fa</w:t>
      </w:r>
      <w:r w:rsidRPr="001C6236">
        <w:rPr>
          <w:lang w:val="en-GB"/>
        </w:rPr>
        <w:t xml:space="preserve">, </w:t>
      </w:r>
      <w:r w:rsidRPr="001C6236">
        <w:rPr>
          <w:i/>
          <w:iCs/>
          <w:lang w:val="en-GB"/>
        </w:rPr>
        <w:t xml:space="preserve">do, </w:t>
      </w:r>
      <w:r w:rsidRPr="001C6236">
        <w:rPr>
          <w:lang w:val="en-GB"/>
        </w:rPr>
        <w:t>or Bb. Diverging variants were observed in Dijon chants apart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from the samples, although they were not further investigated here.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 xml:space="preserve">Returning to </w:t>
      </w:r>
      <w:proofErr w:type="spellStart"/>
      <w:r w:rsidRPr="001C6236">
        <w:rPr>
          <w:i/>
          <w:iCs/>
          <w:lang w:val="en-GB"/>
        </w:rPr>
        <w:t>modulare</w:t>
      </w:r>
      <w:proofErr w:type="spellEnd"/>
      <w:r w:rsidRPr="001C6236">
        <w:rPr>
          <w:i/>
          <w:iCs/>
          <w:lang w:val="en-GB"/>
        </w:rPr>
        <w:t xml:space="preserve"> bene</w:t>
      </w:r>
      <w:r w:rsidRPr="001C6236">
        <w:rPr>
          <w:lang w:val="en-GB"/>
        </w:rPr>
        <w:t>: this most probably also referred to the actual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 xml:space="preserve">performance – in rhetorical terms the </w:t>
      </w:r>
      <w:proofErr w:type="spellStart"/>
      <w:r w:rsidRPr="001C6236">
        <w:rPr>
          <w:i/>
          <w:iCs/>
          <w:lang w:val="en-GB"/>
        </w:rPr>
        <w:t>pronuntiatio</w:t>
      </w:r>
      <w:proofErr w:type="spellEnd"/>
      <w:r w:rsidRPr="001C6236">
        <w:rPr>
          <w:i/>
          <w:iCs/>
          <w:lang w:val="en-GB"/>
        </w:rPr>
        <w:t xml:space="preserve">, </w:t>
      </w:r>
      <w:r w:rsidRPr="001C6236">
        <w:rPr>
          <w:lang w:val="en-GB"/>
        </w:rPr>
        <w:t>the delivery – of both the core repertory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and formulaic additions. Taking into consideration that microtonal inflections reflect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narrow intervals, I assume that they were only perceivable if the performance of the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 xml:space="preserve">remaining phrases reflected an austere style, </w:t>
      </w:r>
      <w:r w:rsidRPr="001C6236">
        <w:rPr>
          <w:i/>
          <w:iCs/>
          <w:lang w:val="en-GB"/>
        </w:rPr>
        <w:t xml:space="preserve">sine </w:t>
      </w:r>
      <w:proofErr w:type="spellStart"/>
      <w:r w:rsidRPr="001C6236">
        <w:rPr>
          <w:i/>
          <w:iCs/>
          <w:lang w:val="en-GB"/>
        </w:rPr>
        <w:t>fuco</w:t>
      </w:r>
      <w:proofErr w:type="spellEnd"/>
      <w:r w:rsidRPr="001C6236">
        <w:rPr>
          <w:lang w:val="en-GB"/>
        </w:rPr>
        <w:t>, as Augustine remarked, referring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to rhetoric in liturgy. This is again in contradiction with many current interpretations of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 xml:space="preserve">ancient music, which seem to prefer adding endless </w:t>
      </w:r>
      <w:proofErr w:type="spellStart"/>
      <w:r w:rsidRPr="001C6236">
        <w:rPr>
          <w:lang w:val="en-GB"/>
        </w:rPr>
        <w:t>melismas</w:t>
      </w:r>
      <w:proofErr w:type="spellEnd"/>
      <w:r w:rsidRPr="001C6236">
        <w:rPr>
          <w:lang w:val="en-GB"/>
        </w:rPr>
        <w:t xml:space="preserve"> and oriental sounding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embellishments. It further decreases the chances of hearing this style of chant being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performed again. Those chances are already dim due to the melodic, linguistic, and biblical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>knowledge required to perceive the sophisticated performance tradition as put on</w:t>
      </w:r>
    </w:p>
    <w:p w:rsidR="001C6236" w:rsidRPr="001C6236" w:rsidRDefault="001C6236" w:rsidP="001C6236">
      <w:pPr>
        <w:rPr>
          <w:lang w:val="en-GB"/>
        </w:rPr>
      </w:pPr>
      <w:r w:rsidRPr="001C6236">
        <w:rPr>
          <w:lang w:val="en-GB"/>
        </w:rPr>
        <w:t xml:space="preserve">parchment by a medieval </w:t>
      </w:r>
      <w:proofErr w:type="spellStart"/>
      <w:r w:rsidRPr="001C6236">
        <w:rPr>
          <w:i/>
          <w:iCs/>
          <w:lang w:val="en-GB"/>
        </w:rPr>
        <w:t>auctor</w:t>
      </w:r>
      <w:proofErr w:type="spellEnd"/>
      <w:r w:rsidRPr="001C6236">
        <w:rPr>
          <w:i/>
          <w:iCs/>
          <w:lang w:val="en-GB"/>
        </w:rPr>
        <w:t xml:space="preserve"> </w:t>
      </w:r>
      <w:r w:rsidRPr="001C6236">
        <w:rPr>
          <w:lang w:val="en-GB"/>
        </w:rPr>
        <w:t>a thousand years ago. He indeed could rely upon the fact</w:t>
      </w:r>
    </w:p>
    <w:p w:rsidR="009D78C7" w:rsidRPr="001C6236" w:rsidRDefault="001C6236" w:rsidP="001C6236">
      <w:pPr>
        <w:rPr>
          <w:lang w:val="en-GB"/>
        </w:rPr>
      </w:pPr>
      <w:r w:rsidRPr="001C6236">
        <w:rPr>
          <w:lang w:val="en-GB"/>
        </w:rPr>
        <w:t>that his audience would understand the intended combined effects of all of these elements</w:t>
      </w:r>
      <w:bookmarkStart w:id="0" w:name="_GoBack"/>
      <w:bookmarkEnd w:id="0"/>
    </w:p>
    <w:sectPr w:rsidR="009D78C7" w:rsidRPr="001C6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36"/>
    <w:rsid w:val="001C6236"/>
    <w:rsid w:val="009D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D51C0-5059-4B87-A46F-73D51E58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2226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Paul</dc:creator>
  <cp:keywords/>
  <dc:description/>
  <cp:lastModifiedBy>Simon Paul</cp:lastModifiedBy>
  <cp:revision>1</cp:revision>
  <dcterms:created xsi:type="dcterms:W3CDTF">2018-11-15T09:31:00Z</dcterms:created>
  <dcterms:modified xsi:type="dcterms:W3CDTF">2018-11-15T09:38:00Z</dcterms:modified>
</cp:coreProperties>
</file>