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A4CABD" w14:textId="77777777" w:rsidR="009920AE" w:rsidRDefault="009920AE"/>
    <w:p w14:paraId="1302BB02" w14:textId="77777777" w:rsidR="009920AE" w:rsidRDefault="009920AE" w:rsidP="002F0DB0">
      <w:pPr>
        <w:ind w:firstLine="720"/>
        <w:rPr>
          <w:iCs/>
        </w:rPr>
      </w:pPr>
      <w:r>
        <w:t xml:space="preserve">I first read about the Edward </w:t>
      </w:r>
      <w:proofErr w:type="spellStart"/>
      <w:r>
        <w:t>Paston</w:t>
      </w:r>
      <w:proofErr w:type="spellEnd"/>
      <w:r>
        <w:t xml:space="preserve"> lute manuscripts in Matthew Spring’s </w:t>
      </w:r>
      <w:r>
        <w:rPr>
          <w:i/>
          <w:iCs/>
        </w:rPr>
        <w:t>The Lute in Britain</w:t>
      </w:r>
      <w:r>
        <w:rPr>
          <w:iCs/>
        </w:rPr>
        <w:t>.</w:t>
      </w:r>
      <w:r>
        <w:rPr>
          <w:rStyle w:val="EndnoteReference"/>
          <w:iCs/>
        </w:rPr>
        <w:endnoteReference w:id="1"/>
      </w:r>
      <w:r>
        <w:rPr>
          <w:iCs/>
        </w:rPr>
        <w:t xml:space="preserve"> </w:t>
      </w:r>
      <w:proofErr w:type="spellStart"/>
      <w:r>
        <w:rPr>
          <w:iCs/>
        </w:rPr>
        <w:t>Paston</w:t>
      </w:r>
      <w:proofErr w:type="spellEnd"/>
      <w:r>
        <w:rPr>
          <w:iCs/>
        </w:rPr>
        <w:t xml:space="preserve"> (1550–1630) maintained a large collection of music in manuscripts, with his interests clearly shaped by his recusancy (</w:t>
      </w:r>
      <w:proofErr w:type="spellStart"/>
      <w:r>
        <w:rPr>
          <w:iCs/>
        </w:rPr>
        <w:t>Paston</w:t>
      </w:r>
      <w:proofErr w:type="spellEnd"/>
      <w:r>
        <w:rPr>
          <w:iCs/>
        </w:rPr>
        <w:t xml:space="preserve"> maintained the Roman Catholic faith at a time in England’s history when that faith was illegal). Given the contents of these lute manuscripts—</w:t>
      </w:r>
      <w:proofErr w:type="spellStart"/>
      <w:r>
        <w:rPr>
          <w:iCs/>
        </w:rPr>
        <w:t>intabulations</w:t>
      </w:r>
      <w:proofErr w:type="spellEnd"/>
      <w:r>
        <w:rPr>
          <w:iCs/>
        </w:rPr>
        <w:t xml:space="preserve"> covering a remarkably broad spectrum of genres and periods—I was astounded that they did not hold a more prominent place in current understanding of the English lute repertoire. Where were the editions, the recordings, the performances, and the articles? As it turned out, I could only blame my own ignorance, since scholars and performers had indeed been exploring this music. Still, I found the music itself difficult to obtain, especially compared to the famous Cambridge manuscripts. Hector </w:t>
      </w:r>
      <w:proofErr w:type="spellStart"/>
      <w:r>
        <w:rPr>
          <w:iCs/>
        </w:rPr>
        <w:t>Sequera’s</w:t>
      </w:r>
      <w:proofErr w:type="spellEnd"/>
      <w:r>
        <w:rPr>
          <w:iCs/>
        </w:rPr>
        <w:t xml:space="preserve"> research proved invaluable, as it included editions of some of the smaller works.</w:t>
      </w:r>
      <w:r>
        <w:rPr>
          <w:rStyle w:val="EndnoteReference"/>
          <w:iCs/>
        </w:rPr>
        <w:endnoteReference w:id="2"/>
      </w:r>
      <w:r>
        <w:rPr>
          <w:iCs/>
        </w:rPr>
        <w:t xml:space="preserve"> I am very grateful that he allowed me to use his editions for a small performance of some of the </w:t>
      </w:r>
      <w:proofErr w:type="spellStart"/>
      <w:r>
        <w:rPr>
          <w:iCs/>
        </w:rPr>
        <w:t>Paston</w:t>
      </w:r>
      <w:proofErr w:type="spellEnd"/>
      <w:r>
        <w:rPr>
          <w:iCs/>
        </w:rPr>
        <w:t xml:space="preserve"> material in New York in the spring 2016. Later in that year, the British Library posted digital facsimiles of three of the five principal manuscripts online.</w:t>
      </w:r>
      <w:r>
        <w:rPr>
          <w:rStyle w:val="EndnoteReference"/>
          <w:iCs/>
        </w:rPr>
        <w:endnoteReference w:id="3"/>
      </w:r>
      <w:r>
        <w:rPr>
          <w:iCs/>
        </w:rPr>
        <w:t xml:space="preserve"> I have spent a great deal of time since then playing through the music, offering a few public performances, and surveying the material in summer-workshop seminars.</w:t>
      </w:r>
    </w:p>
    <w:p w14:paraId="6ACD096D" w14:textId="77777777" w:rsidR="009920AE" w:rsidRDefault="009920AE" w:rsidP="00D531B9">
      <w:pPr>
        <w:ind w:firstLine="720"/>
        <w:rPr>
          <w:iCs/>
        </w:rPr>
      </w:pPr>
      <w:r>
        <w:rPr>
          <w:iCs/>
        </w:rPr>
        <w:t xml:space="preserve">What excited me most about these manuscripts is that they filled an enormous stylistic gap in the lute repertoire. Aside from this collection, </w:t>
      </w:r>
      <w:proofErr w:type="spellStart"/>
      <w:r>
        <w:rPr>
          <w:iCs/>
        </w:rPr>
        <w:t>intabulations</w:t>
      </w:r>
      <w:proofErr w:type="spellEnd"/>
      <w:r>
        <w:rPr>
          <w:iCs/>
        </w:rPr>
        <w:t xml:space="preserve"> of vocal music are relatively scant in English manuscripts, compared to contemporary continental sources. We could probably trace this fact to the particular history of the English reformation. This is especially unfortunate given the riches of pre-reformation English polyphony, with luminaries like Taverner (ca. 1490–1545), Tallis (ca. 1505–1585), and </w:t>
      </w:r>
      <w:proofErr w:type="spellStart"/>
      <w:r>
        <w:rPr>
          <w:iCs/>
        </w:rPr>
        <w:t>Fayrfax</w:t>
      </w:r>
      <w:proofErr w:type="spellEnd"/>
      <w:r>
        <w:rPr>
          <w:iCs/>
        </w:rPr>
        <w:t xml:space="preserve"> (1464–1521). All of these composers are amply represented in </w:t>
      </w:r>
      <w:proofErr w:type="spellStart"/>
      <w:r>
        <w:rPr>
          <w:iCs/>
        </w:rPr>
        <w:t>Paston’s</w:t>
      </w:r>
      <w:proofErr w:type="spellEnd"/>
      <w:r>
        <w:rPr>
          <w:iCs/>
        </w:rPr>
        <w:t xml:space="preserve"> collection. There is a special poignancy to this recusant Catholic’s preservation of a music whose liturgical function was irrevocably swept away by the vicissitudes of Tudor family history. Equally impressive though, is that alongside these older composers is an array of madrigals, motets, and chansons by more recent composers like Victoria (1548–1611), </w:t>
      </w:r>
      <w:proofErr w:type="spellStart"/>
      <w:r>
        <w:rPr>
          <w:iCs/>
        </w:rPr>
        <w:t>Lassus</w:t>
      </w:r>
      <w:proofErr w:type="spellEnd"/>
      <w:r>
        <w:rPr>
          <w:iCs/>
        </w:rPr>
        <w:t xml:space="preserve"> (ca. 1532–1594), and </w:t>
      </w:r>
      <w:proofErr w:type="spellStart"/>
      <w:r>
        <w:rPr>
          <w:iCs/>
        </w:rPr>
        <w:t>Marenzio</w:t>
      </w:r>
      <w:proofErr w:type="spellEnd"/>
      <w:r>
        <w:rPr>
          <w:iCs/>
        </w:rPr>
        <w:t xml:space="preserve"> (ca. 1553–1599). </w:t>
      </w:r>
      <w:proofErr w:type="spellStart"/>
      <w:r>
        <w:rPr>
          <w:iCs/>
        </w:rPr>
        <w:t>Paston</w:t>
      </w:r>
      <w:proofErr w:type="spellEnd"/>
      <w:r>
        <w:rPr>
          <w:iCs/>
        </w:rPr>
        <w:t xml:space="preserve"> consciously kept quite current with the musical trends of his coreligionists on the continent. Unsurprisingly, pride of place goes to </w:t>
      </w:r>
      <w:proofErr w:type="spellStart"/>
      <w:r>
        <w:rPr>
          <w:iCs/>
        </w:rPr>
        <w:t>Paston’s</w:t>
      </w:r>
      <w:proofErr w:type="spellEnd"/>
      <w:r>
        <w:rPr>
          <w:iCs/>
        </w:rPr>
        <w:t xml:space="preserve"> great recusant contemporary William Byrd (ca. 1540–1623), with many songs (both sacred and secular) and motets replicated in neat and spare lute transcriptions.</w:t>
      </w:r>
    </w:p>
    <w:p w14:paraId="56EF824C" w14:textId="77777777" w:rsidR="009920AE" w:rsidRDefault="009920AE" w:rsidP="009920AE">
      <w:pPr>
        <w:ind w:firstLine="720"/>
      </w:pPr>
      <w:r>
        <w:rPr>
          <w:iCs/>
        </w:rPr>
        <w:t xml:space="preserve">All three of the manuscripts follow the sensible pattern of arrangement in order of increasing complexity, ranging from pieces originally for two or three voices up to pieces originally for seven voices. This scheme is reminiscent of the printed vihuela books, with which the musical ethos of the whole collection shares a clear affinity. Indeed, the music in six and seven parts is rivalled in difficulty only by some of </w:t>
      </w:r>
      <w:proofErr w:type="spellStart"/>
      <w:r>
        <w:rPr>
          <w:iCs/>
        </w:rPr>
        <w:t>Fuenllana</w:t>
      </w:r>
      <w:proofErr w:type="spellEnd"/>
      <w:r>
        <w:rPr>
          <w:iCs/>
        </w:rPr>
        <w:t xml:space="preserve"> and </w:t>
      </w:r>
      <w:proofErr w:type="spellStart"/>
      <w:r>
        <w:rPr>
          <w:iCs/>
        </w:rPr>
        <w:t>Pisador’s</w:t>
      </w:r>
      <w:proofErr w:type="spellEnd"/>
      <w:r>
        <w:rPr>
          <w:iCs/>
        </w:rPr>
        <w:t xml:space="preserve"> more ambitious </w:t>
      </w:r>
      <w:proofErr w:type="spellStart"/>
      <w:r>
        <w:rPr>
          <w:iCs/>
        </w:rPr>
        <w:t>intabulations</w:t>
      </w:r>
      <w:proofErr w:type="spellEnd"/>
      <w:r>
        <w:rPr>
          <w:iCs/>
        </w:rPr>
        <w:t xml:space="preserve">—another underexplored and underplayed repertoire. The </w:t>
      </w:r>
      <w:proofErr w:type="spellStart"/>
      <w:r>
        <w:rPr>
          <w:iCs/>
        </w:rPr>
        <w:t>Paston</w:t>
      </w:r>
      <w:proofErr w:type="spellEnd"/>
      <w:r>
        <w:rPr>
          <w:iCs/>
        </w:rPr>
        <w:t xml:space="preserve"> collection is, i</w:t>
      </w:r>
      <w:r>
        <w:t xml:space="preserve">n fact, a bit more user-friendly for the aspiring lute-song duo than the vihuela books. </w:t>
      </w:r>
      <w:proofErr w:type="spellStart"/>
      <w:r>
        <w:t>Paston’s</w:t>
      </w:r>
      <w:proofErr w:type="spellEnd"/>
      <w:r>
        <w:t xml:space="preserve"> songs are for soprano (one of the more common pairings nowadays), while the vihuela </w:t>
      </w:r>
      <w:proofErr w:type="spellStart"/>
      <w:r>
        <w:t>intabulation</w:t>
      </w:r>
      <w:proofErr w:type="spellEnd"/>
      <w:r>
        <w:t xml:space="preserve">-song repertoire is for a more varied selection of voices (judging from the red ciphers). Only a few of the sacred vihuela </w:t>
      </w:r>
      <w:proofErr w:type="spellStart"/>
      <w:r>
        <w:t>intabulations</w:t>
      </w:r>
      <w:proofErr w:type="spellEnd"/>
      <w:r>
        <w:t xml:space="preserve"> are for the soprano voice.</w:t>
      </w:r>
      <w:r>
        <w:rPr>
          <w:rStyle w:val="EndnoteReference"/>
        </w:rPr>
        <w:endnoteReference w:id="4"/>
      </w:r>
      <w:r>
        <w:t xml:space="preserve"> Additionally, the </w:t>
      </w:r>
      <w:proofErr w:type="spellStart"/>
      <w:r>
        <w:t>Paston</w:t>
      </w:r>
      <w:proofErr w:type="spellEnd"/>
      <w:r>
        <w:t xml:space="preserve"> </w:t>
      </w:r>
      <w:proofErr w:type="spellStart"/>
      <w:r>
        <w:t>intabulations</w:t>
      </w:r>
      <w:proofErr w:type="spellEnd"/>
      <w:r>
        <w:t xml:space="preserve"> omit the part that would be sung (as opposed to including them with red ciphers as in the vihuela books), which simplifies the </w:t>
      </w:r>
      <w:proofErr w:type="spellStart"/>
      <w:r>
        <w:t>intabulations</w:t>
      </w:r>
      <w:proofErr w:type="spellEnd"/>
      <w:r>
        <w:t xml:space="preserve"> enormously. We have a complete collection of a wide variety of sacred and secular music in several languages. The </w:t>
      </w:r>
      <w:r>
        <w:lastRenderedPageBreak/>
        <w:t>compiler of these manuscripts shows excellent editorial judgment. Annotations at the beginnings of pieces (“</w:t>
      </w:r>
      <w:proofErr w:type="spellStart"/>
      <w:r>
        <w:t>Excelente</w:t>
      </w:r>
      <w:proofErr w:type="spellEnd"/>
      <w:r>
        <w:t xml:space="preserve">”) mark particularly successful </w:t>
      </w:r>
      <w:proofErr w:type="spellStart"/>
      <w:r>
        <w:t>intabulations</w:t>
      </w:r>
      <w:proofErr w:type="spellEnd"/>
      <w:r>
        <w:t>. I have come to agree with these indications over time. I am convinced that this is a worthy and practical repertoire that will amply repay further study and performance.</w:t>
      </w:r>
    </w:p>
    <w:p w14:paraId="3D66866F" w14:textId="77777777" w:rsidR="009920AE" w:rsidRDefault="009920AE" w:rsidP="000F3131">
      <w:pPr>
        <w:ind w:firstLine="720"/>
      </w:pPr>
      <w:r>
        <w:t xml:space="preserve">What is the process like? With a few exceptions, I have avoided making editions, preferring to play from the facsimiles, which are quite legible and relatively error-free. Since the manuscripts are missing the treble part, which would presumably be sung, there is an extra step compared to the programming process for a more typical lute-song recital. Fortunately, with the advent of huge online collections of public-domain music (IMSLP and CPDL), free and decent editions are available online for most of the music. In many cases this is a straightforward process—a Google search suffices—but there are some traps for the would-be reader of sacred lute songs. Excerpts of larger works in the </w:t>
      </w:r>
      <w:proofErr w:type="spellStart"/>
      <w:r>
        <w:t>Paston</w:t>
      </w:r>
      <w:proofErr w:type="spellEnd"/>
      <w:r>
        <w:t xml:space="preserve"> manuscript occasionally do not indicate the name of the source they are extracted from. For example, the piece (in four parts) on f. 17v of MS Add. 29246 is inscribed “</w:t>
      </w:r>
      <w:proofErr w:type="spellStart"/>
      <w:r>
        <w:t>Lud</w:t>
      </w:r>
      <w:proofErr w:type="spellEnd"/>
      <w:r>
        <w:t xml:space="preserve">: Victoria </w:t>
      </w:r>
      <w:r>
        <w:rPr>
          <w:i/>
          <w:iCs/>
        </w:rPr>
        <w:t xml:space="preserve">Et </w:t>
      </w:r>
      <w:proofErr w:type="spellStart"/>
      <w:r>
        <w:rPr>
          <w:i/>
          <w:iCs/>
        </w:rPr>
        <w:t>Jesum</w:t>
      </w:r>
      <w:proofErr w:type="spellEnd"/>
      <w:r>
        <w:t xml:space="preserve">.” To find the original, you would have to know that this text refers to a section of the prayer </w:t>
      </w:r>
      <w:r>
        <w:rPr>
          <w:i/>
          <w:iCs/>
        </w:rPr>
        <w:t>Salve Regina</w:t>
      </w:r>
      <w:r>
        <w:t>. Some searching among Victoria’s settings reveals that this is an excerpt of the eight-part setting.</w:t>
      </w:r>
    </w:p>
    <w:p w14:paraId="21402E96" w14:textId="77777777" w:rsidR="009920AE" w:rsidRPr="000F3131" w:rsidRDefault="009920AE">
      <w:r>
        <w:tab/>
        <w:t>There are a few other issues that have to be ironed out in rehearsal. One is the use of accidental inflection (</w:t>
      </w:r>
      <w:proofErr w:type="spellStart"/>
      <w:r>
        <w:rPr>
          <w:i/>
          <w:iCs/>
        </w:rPr>
        <w:t>musica</w:t>
      </w:r>
      <w:proofErr w:type="spellEnd"/>
      <w:r>
        <w:rPr>
          <w:i/>
          <w:iCs/>
        </w:rPr>
        <w:t xml:space="preserve"> </w:t>
      </w:r>
      <w:proofErr w:type="spellStart"/>
      <w:r>
        <w:rPr>
          <w:i/>
          <w:iCs/>
        </w:rPr>
        <w:t>ficta</w:t>
      </w:r>
      <w:proofErr w:type="spellEnd"/>
      <w:r>
        <w:t xml:space="preserve">). The choices in the manuscript occasionally conflict with the modern edition. This is a common enough problem for performers of this music more generally. Another is the question of the adaptation of a thick polyphonic texture to the medium of the lute. Perhaps most seriously, there is the issue of meter and mensuration. As with the printed vihuela books, the </w:t>
      </w:r>
      <w:proofErr w:type="spellStart"/>
      <w:r>
        <w:t>Paston</w:t>
      </w:r>
      <w:proofErr w:type="spellEnd"/>
      <w:r>
        <w:t xml:space="preserve"> manuscripts invariably bar the music by semibreve, regardless of the mensuration sign of the original piece. This creates the practical problem that lute facsimile will often have two or three (or occasionally four or six) times as many bars as the modern edition, which can slow down the rehearsal process. More importantly, it raises the question of the coincidence of meter and mensuration, which has been a topic of some recent heated debate among scholars. If the </w:t>
      </w:r>
      <w:proofErr w:type="spellStart"/>
      <w:r>
        <w:t>intabulations</w:t>
      </w:r>
      <w:proofErr w:type="spellEnd"/>
      <w:r>
        <w:t xml:space="preserve"> consistently make no distinction between perfect and imperfect </w:t>
      </w:r>
      <w:r>
        <w:rPr>
          <w:i/>
          <w:iCs/>
        </w:rPr>
        <w:t>tempus</w:t>
      </w:r>
      <w:r>
        <w:t xml:space="preserve">, even when the mensuration changes in the course of a piece, this calls several typical assumptions into question. There is certainly no indication that a tempo change or proportion is called for between successive sections. Further, there is nothing on the page to suggest that perfect </w:t>
      </w:r>
      <w:r>
        <w:rPr>
          <w:i/>
          <w:iCs/>
        </w:rPr>
        <w:t>tempus</w:t>
      </w:r>
      <w:r>
        <w:t xml:space="preserve"> is to be experienced as a triple meter in the modern sense, as is often suggested by current editorial practice (i.e. barring at the breve level).</w:t>
      </w:r>
    </w:p>
    <w:p w14:paraId="3647F74D" w14:textId="77777777" w:rsidR="009920AE" w:rsidRPr="00DE3BC8" w:rsidRDefault="009920AE">
      <w:r>
        <w:tab/>
        <w:t xml:space="preserve">All of these issues, editorial and performative, are on display in one of the more spectacular and ambitious </w:t>
      </w:r>
      <w:proofErr w:type="spellStart"/>
      <w:r>
        <w:t>intabulations</w:t>
      </w:r>
      <w:proofErr w:type="spellEnd"/>
      <w:r>
        <w:t xml:space="preserve">: the Gloria from Taverner’s six-voice </w:t>
      </w:r>
      <w:proofErr w:type="spellStart"/>
      <w:r>
        <w:rPr>
          <w:i/>
          <w:iCs/>
        </w:rPr>
        <w:t>Missa</w:t>
      </w:r>
      <w:proofErr w:type="spellEnd"/>
      <w:r>
        <w:rPr>
          <w:i/>
          <w:iCs/>
        </w:rPr>
        <w:t xml:space="preserve"> Gloria </w:t>
      </w:r>
      <w:proofErr w:type="spellStart"/>
      <w:r>
        <w:rPr>
          <w:i/>
          <w:iCs/>
        </w:rPr>
        <w:t>tibi</w:t>
      </w:r>
      <w:proofErr w:type="spellEnd"/>
      <w:r>
        <w:rPr>
          <w:i/>
          <w:iCs/>
        </w:rPr>
        <w:t xml:space="preserve"> </w:t>
      </w:r>
      <w:proofErr w:type="spellStart"/>
      <w:r>
        <w:rPr>
          <w:i/>
          <w:iCs/>
        </w:rPr>
        <w:t>trinitas</w:t>
      </w:r>
      <w:proofErr w:type="spellEnd"/>
      <w:r>
        <w:rPr>
          <w:i/>
          <w:iCs/>
        </w:rPr>
        <w:t xml:space="preserve"> </w:t>
      </w:r>
      <w:r>
        <w:t>(MS Add. 29246, ff. 56v–57v). An edition of this work accompanies this article. This Mass section illustrates some of the stylistic idiosyncrasies of the collection as a whole.</w:t>
      </w:r>
    </w:p>
    <w:p w14:paraId="01E71167" w14:textId="77777777" w:rsidR="009920AE" w:rsidRDefault="009920AE">
      <w:r>
        <w:tab/>
        <w:t xml:space="preserve">Taverner’s setting of the Mass ordinary is surely one of crowning masterpieces of Tudor polyphony. A survey of available recordings suggests a duration between ten and twelve minutes on average. Several editions, dating back to R.R. Terry’s from </w:t>
      </w:r>
      <w:r>
        <w:rPr>
          <w:i/>
          <w:iCs/>
        </w:rPr>
        <w:t>Tudor Church Music</w:t>
      </w:r>
      <w:r>
        <w:t xml:space="preserve"> (1923) are freely available online.</w:t>
      </w:r>
      <w:r>
        <w:rPr>
          <w:rStyle w:val="EndnoteReference"/>
        </w:rPr>
        <w:endnoteReference w:id="5"/>
      </w:r>
      <w:r>
        <w:t xml:space="preserve"> Taverner’s writing often works best with a few singers on each part, which probably approximates the original forces. What could be a more poignant example of the plight of England’s recusant Catholics than this setting for one singer? Is it possible that this setting was used liturgically for a secret and illegal house Mass? While we can never really know the answer to this question, I think it unlikely, because attempting to play </w:t>
      </w:r>
      <w:r>
        <w:lastRenderedPageBreak/>
        <w:t xml:space="preserve">from the lute part with a singer reading the score quickly reveals that the lute setting is incomplete. In fact, the </w:t>
      </w:r>
      <w:proofErr w:type="spellStart"/>
      <w:r>
        <w:t>intabulation</w:t>
      </w:r>
      <w:proofErr w:type="spellEnd"/>
      <w:r>
        <w:t xml:space="preserve"> only sets the portions of the movement that feature the treble. Sections involving smaller ensembles of the lower parts are simply omitted. The closing </w:t>
      </w:r>
      <w:r>
        <w:rPr>
          <w:i/>
          <w:iCs/>
        </w:rPr>
        <w:t xml:space="preserve">tutti </w:t>
      </w:r>
      <w:r>
        <w:t xml:space="preserve">section, “cum </w:t>
      </w:r>
      <w:proofErr w:type="spellStart"/>
      <w:r>
        <w:t>sancto</w:t>
      </w:r>
      <w:proofErr w:type="spellEnd"/>
      <w:r>
        <w:t xml:space="preserve"> </w:t>
      </w:r>
      <w:proofErr w:type="spellStart"/>
      <w:r>
        <w:t>spiritu</w:t>
      </w:r>
      <w:proofErr w:type="spellEnd"/>
      <w:r>
        <w:t xml:space="preserve">,” is also unaccountably missing. Sections that are included </w:t>
      </w:r>
      <w:proofErr w:type="spellStart"/>
      <w:r>
        <w:t>occasionaly</w:t>
      </w:r>
      <w:proofErr w:type="spellEnd"/>
      <w:r>
        <w:t xml:space="preserve"> commence in the middle of measures, according to the modern editions.</w:t>
      </w:r>
    </w:p>
    <w:p w14:paraId="18935A63" w14:textId="77777777" w:rsidR="009920AE" w:rsidRDefault="009920AE">
      <w:r>
        <w:tab/>
        <w:t xml:space="preserve">What of the setting itself? As with the equally ambitions </w:t>
      </w:r>
      <w:proofErr w:type="spellStart"/>
      <w:r>
        <w:t>Pisador</w:t>
      </w:r>
      <w:proofErr w:type="spellEnd"/>
      <w:r>
        <w:t xml:space="preserve"> and </w:t>
      </w:r>
      <w:proofErr w:type="spellStart"/>
      <w:r>
        <w:t>Fuenllana</w:t>
      </w:r>
      <w:proofErr w:type="spellEnd"/>
      <w:r>
        <w:t xml:space="preserve"> </w:t>
      </w:r>
      <w:proofErr w:type="spellStart"/>
      <w:r>
        <w:t>intabulations</w:t>
      </w:r>
      <w:proofErr w:type="spellEnd"/>
      <w:r>
        <w:t xml:space="preserve">, the luxurious six-voice polyphony tends to devolve into a succession of block chords when set on the lute. There are examples of this phenomenon in the </w:t>
      </w:r>
      <w:proofErr w:type="spellStart"/>
      <w:r>
        <w:rPr>
          <w:i/>
          <w:iCs/>
        </w:rPr>
        <w:t>Bottegari</w:t>
      </w:r>
      <w:proofErr w:type="spellEnd"/>
      <w:r>
        <w:rPr>
          <w:i/>
          <w:iCs/>
        </w:rPr>
        <w:t xml:space="preserve"> Lute Book</w:t>
      </w:r>
      <w:r>
        <w:t xml:space="preserve"> as well. How should the modern lutenist approach this? I think all efforts to trace out the individual lines are doomed to failure. If that is a priority, rearranging the music for two or three lutes (a practice specifically recommended by Juan </w:t>
      </w:r>
      <w:proofErr w:type="spellStart"/>
      <w:r>
        <w:t>Bermudo</w:t>
      </w:r>
      <w:proofErr w:type="spellEnd"/>
      <w:r>
        <w:t xml:space="preserve">) would seem to be more fruitful. Instead, without being too inelegant about it, I find embracing this chordal texture as a feature rather than a bug is more satisfying. What I have in mind must be something like what </w:t>
      </w:r>
      <w:proofErr w:type="spellStart"/>
      <w:r>
        <w:t>Amat</w:t>
      </w:r>
      <w:proofErr w:type="spellEnd"/>
      <w:r>
        <w:t xml:space="preserve"> described regarding accompanying Palestrina on the five-course guitar.</w:t>
      </w:r>
      <w:r>
        <w:rPr>
          <w:rStyle w:val="EndnoteReference"/>
        </w:rPr>
        <w:endnoteReference w:id="6"/>
      </w:r>
    </w:p>
    <w:p w14:paraId="67FF43C2" w14:textId="77777777" w:rsidR="009920AE" w:rsidRDefault="009920AE" w:rsidP="00323749">
      <w:r>
        <w:tab/>
      </w:r>
      <w:proofErr w:type="gramStart"/>
      <w:r>
        <w:t>Also</w:t>
      </w:r>
      <w:proofErr w:type="gramEnd"/>
      <w:r>
        <w:t xml:space="preserve"> guitar-like is the </w:t>
      </w:r>
      <w:proofErr w:type="spellStart"/>
      <w:r>
        <w:t>intabulator’s</w:t>
      </w:r>
      <w:proofErr w:type="spellEnd"/>
      <w:r>
        <w:t xml:space="preserve"> practice regarding bass notes. Taverner’s bass line descends frequently to low F, one note below the open sixth course. In the </w:t>
      </w:r>
      <w:proofErr w:type="spellStart"/>
      <w:r>
        <w:t>intabulation</w:t>
      </w:r>
      <w:proofErr w:type="spellEnd"/>
      <w:r>
        <w:t>, all of those notes are simply omitted, leaving what a modern musician might call “chord inversions.” There is no attempt to revoice the harmonies to have the proper bass note on the bottom. In my edition, which I first made in 2016 when the manuscripts first appeared online, I attempted to remedy the problem by supplying notes on a seventh course, tuned to F. My working theory was that a bass viol or similar instrument could have played the bass line in performance. I have since reconsidered this. Now, I think the inversions too are something to embrace. Again, this would be similar to a guitar-type practice. In my more recent performances, I have been less fussy about the bass notes, and I now believe that the chordal texture sounds convincing enough without the low notes. I am leaving them in the present edition, so my readers can draw their own conclusions.</w:t>
      </w:r>
    </w:p>
    <w:p w14:paraId="46D7585F" w14:textId="77777777" w:rsidR="009920AE" w:rsidRDefault="009920AE" w:rsidP="00323749">
      <w:r>
        <w:tab/>
        <w:t xml:space="preserve">In the typical fashion of pre-Reformation Mass settings, the mensuration of the original changes from cut-circle to cut-c halfway through the movement. According to standard editorial practice, this means a change from triple measures to duple measures. In performance, this change is often accompanied by a tempo change or even a proportional change. As with all of the other </w:t>
      </w:r>
      <w:proofErr w:type="spellStart"/>
      <w:r>
        <w:t>intabulations</w:t>
      </w:r>
      <w:proofErr w:type="spellEnd"/>
      <w:r>
        <w:t xml:space="preserve"> in the manuscript, the </w:t>
      </w:r>
      <w:proofErr w:type="spellStart"/>
      <w:r>
        <w:t>Paston</w:t>
      </w:r>
      <w:proofErr w:type="spellEnd"/>
      <w:r>
        <w:t xml:space="preserve"> version does not indicate the change at all. This certainly calls some performance-practice assumptions into question, though a full discussion is beyond the scope of this article.</w:t>
      </w:r>
    </w:p>
    <w:p w14:paraId="4E6607C2" w14:textId="77777777" w:rsidR="009920AE" w:rsidRDefault="009920AE" w:rsidP="00C777A6">
      <w:pPr>
        <w:ind w:firstLine="720"/>
      </w:pPr>
      <w:r>
        <w:t xml:space="preserve">On the face of it, this </w:t>
      </w:r>
      <w:proofErr w:type="spellStart"/>
      <w:r>
        <w:t>intabulation</w:t>
      </w:r>
      <w:proofErr w:type="spellEnd"/>
      <w:r>
        <w:t xml:space="preserve"> of such a complex piece is impractical, or even quixotic. The texture is so thin and vulnerable, while the music calls for sumptuous polyphony. Having spent some time working with this music and performing it, I have concluded that this lute version has its own charm, even though it differs so markedly from the original texture. The music is occasionally quite </w:t>
      </w:r>
      <w:proofErr w:type="gramStart"/>
      <w:r>
        <w:t>difficult, but</w:t>
      </w:r>
      <w:proofErr w:type="gramEnd"/>
      <w:r>
        <w:t xml:space="preserve"> playing it and working on it has brought me immense musical satisfaction. I hope this edition of the Taverner Gloria will convince others of the worth and vitality of this excellent and mostly unexplored repertoire.</w:t>
      </w:r>
    </w:p>
    <w:p w14:paraId="3B446FC0" w14:textId="77777777" w:rsidR="009920AE" w:rsidRDefault="009920AE" w:rsidP="00187390">
      <w:pPr>
        <w:ind w:left="1088"/>
      </w:pPr>
    </w:p>
    <w:p w14:paraId="4B7FDD29" w14:textId="77777777" w:rsidR="009920AE" w:rsidRDefault="009920AE"/>
    <w:p w14:paraId="03544185" w14:textId="77777777" w:rsidR="009920AE" w:rsidRDefault="009920AE"/>
    <w:p w14:paraId="526233B4" w14:textId="77777777" w:rsidR="009920AE" w:rsidRPr="00CB651E" w:rsidRDefault="009920AE"/>
    <w:p w14:paraId="1C665690" w14:textId="77777777" w:rsidR="00D36B76" w:rsidRDefault="00D36B76"/>
    <w:sectPr w:rsidR="00D36B76" w:rsidSect="0088698F">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09FB4B" w14:textId="77777777" w:rsidR="00936F47" w:rsidRDefault="00936F47" w:rsidP="009920AE">
      <w:r>
        <w:separator/>
      </w:r>
    </w:p>
  </w:endnote>
  <w:endnote w:type="continuationSeparator" w:id="0">
    <w:p w14:paraId="15C60207" w14:textId="77777777" w:rsidR="00936F47" w:rsidRDefault="00936F47" w:rsidP="009920AE">
      <w:r>
        <w:continuationSeparator/>
      </w:r>
    </w:p>
  </w:endnote>
  <w:endnote w:id="1">
    <w:p w14:paraId="6A0E7AAF" w14:textId="77777777" w:rsidR="009920AE" w:rsidRDefault="009920AE">
      <w:pPr>
        <w:pStyle w:val="EndnoteText"/>
      </w:pPr>
      <w:r>
        <w:rPr>
          <w:rStyle w:val="EndnoteReference"/>
        </w:rPr>
        <w:endnoteRef/>
      </w:r>
      <w:r>
        <w:t xml:space="preserve"> </w:t>
      </w:r>
      <w:r>
        <w:rPr>
          <w:noProof/>
        </w:rPr>
        <w:t xml:space="preserve">Matthew Spring, </w:t>
      </w:r>
      <w:r w:rsidRPr="002B0C16">
        <w:rPr>
          <w:i/>
          <w:noProof/>
        </w:rPr>
        <w:t>The Lute in Britain: A History of the Instrument and its Music</w:t>
      </w:r>
      <w:r>
        <w:rPr>
          <w:noProof/>
        </w:rPr>
        <w:t xml:space="preserve"> (Oxford: Oxford University Press, 2001), 259.</w:t>
      </w:r>
    </w:p>
  </w:endnote>
  <w:endnote w:id="2">
    <w:p w14:paraId="48857B38" w14:textId="77777777" w:rsidR="009920AE" w:rsidRDefault="009920AE">
      <w:pPr>
        <w:pStyle w:val="EndnoteText"/>
      </w:pPr>
      <w:r>
        <w:rPr>
          <w:rStyle w:val="EndnoteReference"/>
        </w:rPr>
        <w:endnoteRef/>
      </w:r>
      <w:r>
        <w:t xml:space="preserve"> </w:t>
      </w:r>
      <w:r>
        <w:rPr>
          <w:noProof/>
        </w:rPr>
        <w:t>Hector Sequera, "House Music for Recusants in Elizabethan England: Performance Practice in the Music Collection of Edward Paston (1550–1630)" (PhD Diss., Unversity of Birmingham, 2010).</w:t>
      </w:r>
    </w:p>
  </w:endnote>
  <w:endnote w:id="3">
    <w:p w14:paraId="43D4DF8C" w14:textId="77777777" w:rsidR="009920AE" w:rsidRDefault="009920AE">
      <w:pPr>
        <w:pStyle w:val="EndnoteText"/>
      </w:pPr>
      <w:r>
        <w:rPr>
          <w:rStyle w:val="EndnoteReference"/>
        </w:rPr>
        <w:endnoteRef/>
      </w:r>
      <w:r>
        <w:t xml:space="preserve"> BL Add MS 29246: </w:t>
      </w:r>
      <w:hyperlink r:id="rId1" w:history="1">
        <w:r w:rsidRPr="00444FAB">
          <w:rPr>
            <w:rStyle w:val="Hyperlink"/>
          </w:rPr>
          <w:t>http://www.bl.uk/manuscripts/FullDisplay.aspx?ref=Add_MS_29246&amp;index=0</w:t>
        </w:r>
      </w:hyperlink>
    </w:p>
    <w:p w14:paraId="5890CD48" w14:textId="77777777" w:rsidR="009920AE" w:rsidRDefault="009920AE">
      <w:pPr>
        <w:pStyle w:val="EndnoteText"/>
      </w:pPr>
      <w:r>
        <w:t xml:space="preserve">BL Add MS 29247: </w:t>
      </w:r>
      <w:hyperlink r:id="rId2" w:history="1">
        <w:r w:rsidRPr="00444FAB">
          <w:rPr>
            <w:rStyle w:val="Hyperlink"/>
          </w:rPr>
          <w:t>http://www.bl.uk/manuscripts/FullDisplay.aspx?ref=Add_MS_29247&amp;index=0</w:t>
        </w:r>
      </w:hyperlink>
    </w:p>
    <w:p w14:paraId="462031AD" w14:textId="77777777" w:rsidR="009920AE" w:rsidRDefault="009920AE">
      <w:pPr>
        <w:pStyle w:val="EndnoteText"/>
      </w:pPr>
      <w:r>
        <w:t xml:space="preserve">BL Add MS 31992: </w:t>
      </w:r>
      <w:hyperlink r:id="rId3" w:history="1">
        <w:r w:rsidRPr="00444FAB">
          <w:rPr>
            <w:rStyle w:val="Hyperlink"/>
          </w:rPr>
          <w:t>http://www.bl.uk/manuscripts/FullDisplay.aspx?ref=Add_MS_31992&amp;index=0</w:t>
        </w:r>
      </w:hyperlink>
    </w:p>
  </w:endnote>
  <w:endnote w:id="4">
    <w:p w14:paraId="5C1E909D" w14:textId="77777777" w:rsidR="009920AE" w:rsidRDefault="009920AE">
      <w:pPr>
        <w:pStyle w:val="EndnoteText"/>
      </w:pPr>
      <w:r>
        <w:rPr>
          <w:rStyle w:val="EndnoteReference"/>
        </w:rPr>
        <w:endnoteRef/>
      </w:r>
      <w:r>
        <w:t xml:space="preserve"> I.e., </w:t>
      </w:r>
      <w:proofErr w:type="spellStart"/>
      <w:r>
        <w:t>Pisador’s</w:t>
      </w:r>
      <w:proofErr w:type="spellEnd"/>
      <w:r>
        <w:t xml:space="preserve"> </w:t>
      </w:r>
      <w:proofErr w:type="spellStart"/>
      <w:r>
        <w:t>intabulations</w:t>
      </w:r>
      <w:proofErr w:type="spellEnd"/>
      <w:r>
        <w:t xml:space="preserve"> of </w:t>
      </w:r>
      <w:proofErr w:type="spellStart"/>
      <w:r>
        <w:rPr>
          <w:i/>
          <w:iCs/>
        </w:rPr>
        <w:t>Praeter</w:t>
      </w:r>
      <w:proofErr w:type="spellEnd"/>
      <w:r>
        <w:rPr>
          <w:i/>
          <w:iCs/>
        </w:rPr>
        <w:t xml:space="preserve"> rerum </w:t>
      </w:r>
      <w:proofErr w:type="spellStart"/>
      <w:r>
        <w:rPr>
          <w:i/>
          <w:iCs/>
        </w:rPr>
        <w:t>seriem</w:t>
      </w:r>
      <w:proofErr w:type="spellEnd"/>
      <w:r>
        <w:t xml:space="preserve"> and </w:t>
      </w:r>
      <w:r>
        <w:rPr>
          <w:i/>
          <w:iCs/>
        </w:rPr>
        <w:t xml:space="preserve">Miserere </w:t>
      </w:r>
      <w:proofErr w:type="spellStart"/>
      <w:r>
        <w:rPr>
          <w:i/>
          <w:iCs/>
        </w:rPr>
        <w:t>mei</w:t>
      </w:r>
      <w:proofErr w:type="spellEnd"/>
      <w:r>
        <w:t>, both by Josquin.</w:t>
      </w:r>
    </w:p>
  </w:endnote>
  <w:endnote w:id="5">
    <w:p w14:paraId="1B9EBDEA" w14:textId="77777777" w:rsidR="009920AE" w:rsidRDefault="009920AE">
      <w:pPr>
        <w:pStyle w:val="EndnoteText"/>
      </w:pPr>
      <w:r>
        <w:rPr>
          <w:rStyle w:val="EndnoteReference"/>
        </w:rPr>
        <w:endnoteRef/>
      </w:r>
      <w:r>
        <w:t xml:space="preserve"> </w:t>
      </w:r>
      <w:hyperlink r:id="rId4" w:history="1">
        <w:r w:rsidRPr="00444FAB">
          <w:rPr>
            <w:rStyle w:val="Hyperlink"/>
          </w:rPr>
          <w:t>http://ks.imslp.net/files/imglnks/usimg/6/6b/IMSLP472676-PMLP767142-Taverner_Missa_Gloria_tibi_trinitas.pdf</w:t>
        </w:r>
      </w:hyperlink>
    </w:p>
  </w:endnote>
  <w:endnote w:id="6">
    <w:p w14:paraId="33E87C8C" w14:textId="77777777" w:rsidR="009920AE" w:rsidRDefault="009920AE">
      <w:pPr>
        <w:pStyle w:val="EndnoteText"/>
      </w:pPr>
      <w:r>
        <w:rPr>
          <w:rStyle w:val="EndnoteReference"/>
        </w:rPr>
        <w:endnoteRef/>
      </w:r>
      <w:r>
        <w:t xml:space="preserve"> </w:t>
      </w:r>
      <w:proofErr w:type="spellStart"/>
      <w:r>
        <w:t>Amat</w:t>
      </w:r>
      <w:proofErr w:type="spellEnd"/>
      <w:r>
        <w:t xml:space="preserve"> relates a story in which he argues with four other guitarists over whether it is possible to reduce polyphonic music in several parts using a simple algorithm of assigning (mostly root-position) triads to the bass. They hand him some music by Palestrina, and he quickly makes his accompaniment using his table. They all sing together with a guitar strumming along. This is rather far from the modern expectation of </w:t>
      </w:r>
      <w:proofErr w:type="spellStart"/>
      <w:r>
        <w:t>Palestrinian</w:t>
      </w:r>
      <w:proofErr w:type="spellEnd"/>
      <w:r>
        <w:t xml:space="preserve"> performance practice! </w:t>
      </w:r>
      <w:r>
        <w:rPr>
          <w:noProof/>
        </w:rPr>
        <w:t>Joan Carles Amat,</w:t>
      </w:r>
      <w:r w:rsidRPr="001A76F2">
        <w:rPr>
          <w:i/>
          <w:noProof/>
        </w:rPr>
        <w:t xml:space="preserve"> Guitarra española, y vandola en dos maneras de guitarra, castellana, y cathalana de cinco ordenes</w:t>
      </w:r>
      <w:r>
        <w:rPr>
          <w:noProof/>
        </w:rPr>
        <w:t xml:space="preserve"> (Gerona: Joseph Bro, 1763), 28–31.</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616A65" w14:textId="77777777" w:rsidR="00936F47" w:rsidRDefault="00936F47" w:rsidP="009920AE">
      <w:r>
        <w:separator/>
      </w:r>
    </w:p>
  </w:footnote>
  <w:footnote w:type="continuationSeparator" w:id="0">
    <w:p w14:paraId="28D9746D" w14:textId="77777777" w:rsidR="00936F47" w:rsidRDefault="00936F47" w:rsidP="009920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6176DB"/>
    <w:multiLevelType w:val="hybridMultilevel"/>
    <w:tmpl w:val="FF808B50"/>
    <w:lvl w:ilvl="0" w:tplc="0409000F">
      <w:start w:val="1"/>
      <w:numFmt w:val="decimal"/>
      <w:lvlText w:val="%1."/>
      <w:lvlJc w:val="left"/>
      <w:pPr>
        <w:ind w:left="1448" w:hanging="360"/>
      </w:pPr>
    </w:lvl>
    <w:lvl w:ilvl="1" w:tplc="04090019" w:tentative="1">
      <w:start w:val="1"/>
      <w:numFmt w:val="lowerLetter"/>
      <w:lvlText w:val="%2."/>
      <w:lvlJc w:val="left"/>
      <w:pPr>
        <w:ind w:left="2168" w:hanging="360"/>
      </w:pPr>
    </w:lvl>
    <w:lvl w:ilvl="2" w:tplc="0409001B" w:tentative="1">
      <w:start w:val="1"/>
      <w:numFmt w:val="lowerRoman"/>
      <w:lvlText w:val="%3."/>
      <w:lvlJc w:val="right"/>
      <w:pPr>
        <w:ind w:left="2888" w:hanging="180"/>
      </w:pPr>
    </w:lvl>
    <w:lvl w:ilvl="3" w:tplc="0409000F" w:tentative="1">
      <w:start w:val="1"/>
      <w:numFmt w:val="decimal"/>
      <w:lvlText w:val="%4."/>
      <w:lvlJc w:val="left"/>
      <w:pPr>
        <w:ind w:left="3608" w:hanging="360"/>
      </w:pPr>
    </w:lvl>
    <w:lvl w:ilvl="4" w:tplc="04090019" w:tentative="1">
      <w:start w:val="1"/>
      <w:numFmt w:val="lowerLetter"/>
      <w:lvlText w:val="%5."/>
      <w:lvlJc w:val="left"/>
      <w:pPr>
        <w:ind w:left="4328" w:hanging="360"/>
      </w:pPr>
    </w:lvl>
    <w:lvl w:ilvl="5" w:tplc="0409001B" w:tentative="1">
      <w:start w:val="1"/>
      <w:numFmt w:val="lowerRoman"/>
      <w:lvlText w:val="%6."/>
      <w:lvlJc w:val="right"/>
      <w:pPr>
        <w:ind w:left="5048" w:hanging="180"/>
      </w:pPr>
    </w:lvl>
    <w:lvl w:ilvl="6" w:tplc="0409000F" w:tentative="1">
      <w:start w:val="1"/>
      <w:numFmt w:val="decimal"/>
      <w:lvlText w:val="%7."/>
      <w:lvlJc w:val="left"/>
      <w:pPr>
        <w:ind w:left="5768" w:hanging="360"/>
      </w:pPr>
    </w:lvl>
    <w:lvl w:ilvl="7" w:tplc="04090019" w:tentative="1">
      <w:start w:val="1"/>
      <w:numFmt w:val="lowerLetter"/>
      <w:lvlText w:val="%8."/>
      <w:lvlJc w:val="left"/>
      <w:pPr>
        <w:ind w:left="6488" w:hanging="360"/>
      </w:pPr>
    </w:lvl>
    <w:lvl w:ilvl="8" w:tplc="0409001B" w:tentative="1">
      <w:start w:val="1"/>
      <w:numFmt w:val="lowerRoman"/>
      <w:lvlText w:val="%9."/>
      <w:lvlJc w:val="right"/>
      <w:pPr>
        <w:ind w:left="720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4"/>
  <w:doNotDisplayPageBoundaries/>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9920AE"/>
    <w:rsid w:val="002B57B2"/>
    <w:rsid w:val="00443D4B"/>
    <w:rsid w:val="004637CC"/>
    <w:rsid w:val="004749D9"/>
    <w:rsid w:val="00816240"/>
    <w:rsid w:val="00936F47"/>
    <w:rsid w:val="00953E73"/>
    <w:rsid w:val="009920AE"/>
    <w:rsid w:val="00D36B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35F37EE"/>
  <w15:chartTrackingRefBased/>
  <w15:docId w15:val="{9837928A-88DA-8D48-9499-B0F6F3EBE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0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20AE"/>
    <w:pPr>
      <w:ind w:left="720"/>
      <w:contextualSpacing/>
    </w:pPr>
  </w:style>
  <w:style w:type="paragraph" w:styleId="FootnoteText">
    <w:name w:val="footnote text"/>
    <w:basedOn w:val="Normal"/>
    <w:link w:val="FootnoteTextChar"/>
    <w:uiPriority w:val="99"/>
    <w:semiHidden/>
    <w:unhideWhenUsed/>
    <w:rsid w:val="009920AE"/>
    <w:rPr>
      <w:sz w:val="20"/>
      <w:szCs w:val="20"/>
    </w:rPr>
  </w:style>
  <w:style w:type="character" w:customStyle="1" w:styleId="FootnoteTextChar">
    <w:name w:val="Footnote Text Char"/>
    <w:basedOn w:val="DefaultParagraphFont"/>
    <w:link w:val="FootnoteText"/>
    <w:uiPriority w:val="99"/>
    <w:semiHidden/>
    <w:rsid w:val="009920AE"/>
    <w:rPr>
      <w:sz w:val="20"/>
      <w:szCs w:val="20"/>
    </w:rPr>
  </w:style>
  <w:style w:type="character" w:styleId="FootnoteReference">
    <w:name w:val="footnote reference"/>
    <w:basedOn w:val="DefaultParagraphFont"/>
    <w:uiPriority w:val="99"/>
    <w:semiHidden/>
    <w:unhideWhenUsed/>
    <w:rsid w:val="009920AE"/>
    <w:rPr>
      <w:vertAlign w:val="superscript"/>
    </w:rPr>
  </w:style>
  <w:style w:type="paragraph" w:customStyle="1" w:styleId="EndNoteBibliographyTitle">
    <w:name w:val="EndNote Bibliography Title"/>
    <w:basedOn w:val="Normal"/>
    <w:link w:val="EndNoteBibliographyTitleChar"/>
    <w:rsid w:val="009920AE"/>
    <w:pPr>
      <w:jc w:val="center"/>
    </w:pPr>
    <w:rPr>
      <w:rFonts w:ascii="Calibri" w:hAnsi="Calibri" w:cs="Calibri"/>
      <w:sz w:val="20"/>
      <w:szCs w:val="20"/>
    </w:rPr>
  </w:style>
  <w:style w:type="character" w:customStyle="1" w:styleId="EndNoteBibliographyTitleChar">
    <w:name w:val="EndNote Bibliography Title Char"/>
    <w:basedOn w:val="FootnoteTextChar"/>
    <w:link w:val="EndNoteBibliographyTitle"/>
    <w:rsid w:val="009920AE"/>
    <w:rPr>
      <w:rFonts w:ascii="Calibri" w:hAnsi="Calibri" w:cs="Calibri"/>
      <w:sz w:val="20"/>
      <w:szCs w:val="20"/>
    </w:rPr>
  </w:style>
  <w:style w:type="paragraph" w:customStyle="1" w:styleId="EndNoteBibliography">
    <w:name w:val="EndNote Bibliography"/>
    <w:basedOn w:val="Normal"/>
    <w:link w:val="EndNoteBibliographyChar"/>
    <w:rsid w:val="009920AE"/>
    <w:rPr>
      <w:rFonts w:ascii="Calibri" w:hAnsi="Calibri" w:cs="Calibri"/>
      <w:sz w:val="20"/>
      <w:szCs w:val="20"/>
    </w:rPr>
  </w:style>
  <w:style w:type="character" w:customStyle="1" w:styleId="EndNoteBibliographyChar">
    <w:name w:val="EndNote Bibliography Char"/>
    <w:basedOn w:val="FootnoteTextChar"/>
    <w:link w:val="EndNoteBibliography"/>
    <w:rsid w:val="009920AE"/>
    <w:rPr>
      <w:rFonts w:ascii="Calibri" w:hAnsi="Calibri" w:cs="Calibri"/>
      <w:sz w:val="20"/>
      <w:szCs w:val="20"/>
    </w:rPr>
  </w:style>
  <w:style w:type="paragraph" w:styleId="BalloonText">
    <w:name w:val="Balloon Text"/>
    <w:basedOn w:val="Normal"/>
    <w:link w:val="BalloonTextChar"/>
    <w:uiPriority w:val="99"/>
    <w:semiHidden/>
    <w:unhideWhenUsed/>
    <w:rsid w:val="009920A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920AE"/>
    <w:rPr>
      <w:rFonts w:ascii="Times New Roman" w:hAnsi="Times New Roman" w:cs="Times New Roman"/>
      <w:sz w:val="18"/>
      <w:szCs w:val="18"/>
    </w:rPr>
  </w:style>
  <w:style w:type="paragraph" w:styleId="EndnoteText">
    <w:name w:val="endnote text"/>
    <w:basedOn w:val="Normal"/>
    <w:link w:val="EndnoteTextChar"/>
    <w:uiPriority w:val="99"/>
    <w:semiHidden/>
    <w:unhideWhenUsed/>
    <w:rsid w:val="009920AE"/>
    <w:rPr>
      <w:sz w:val="20"/>
      <w:szCs w:val="20"/>
    </w:rPr>
  </w:style>
  <w:style w:type="character" w:customStyle="1" w:styleId="EndnoteTextChar">
    <w:name w:val="Endnote Text Char"/>
    <w:basedOn w:val="DefaultParagraphFont"/>
    <w:link w:val="EndnoteText"/>
    <w:uiPriority w:val="99"/>
    <w:semiHidden/>
    <w:rsid w:val="009920AE"/>
    <w:rPr>
      <w:sz w:val="20"/>
      <w:szCs w:val="20"/>
    </w:rPr>
  </w:style>
  <w:style w:type="character" w:styleId="EndnoteReference">
    <w:name w:val="endnote reference"/>
    <w:basedOn w:val="DefaultParagraphFont"/>
    <w:uiPriority w:val="99"/>
    <w:semiHidden/>
    <w:unhideWhenUsed/>
    <w:rsid w:val="009920AE"/>
    <w:rPr>
      <w:vertAlign w:val="superscript"/>
    </w:rPr>
  </w:style>
  <w:style w:type="character" w:styleId="Hyperlink">
    <w:name w:val="Hyperlink"/>
    <w:basedOn w:val="DefaultParagraphFont"/>
    <w:uiPriority w:val="99"/>
    <w:unhideWhenUsed/>
    <w:rsid w:val="009920AE"/>
    <w:rPr>
      <w:color w:val="0563C1" w:themeColor="hyperlink"/>
      <w:u w:val="single"/>
    </w:rPr>
  </w:style>
  <w:style w:type="character" w:styleId="UnresolvedMention">
    <w:name w:val="Unresolved Mention"/>
    <w:basedOn w:val="DefaultParagraphFont"/>
    <w:uiPriority w:val="99"/>
    <w:semiHidden/>
    <w:unhideWhenUsed/>
    <w:rsid w:val="009920AE"/>
    <w:rPr>
      <w:color w:val="605E5C"/>
      <w:shd w:val="clear" w:color="auto" w:fill="E1DFDD"/>
    </w:rPr>
  </w:style>
  <w:style w:type="character" w:styleId="FollowedHyperlink">
    <w:name w:val="FollowedHyperlink"/>
    <w:basedOn w:val="DefaultParagraphFont"/>
    <w:uiPriority w:val="99"/>
    <w:semiHidden/>
    <w:unhideWhenUsed/>
    <w:rsid w:val="002B57B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endnotes.xml.rels><?xml version="1.0" encoding="UTF-8" standalone="yes"?>
<Relationships xmlns="http://schemas.openxmlformats.org/package/2006/relationships"><Relationship Id="rId3" Type="http://schemas.openxmlformats.org/officeDocument/2006/relationships/hyperlink" Target="http://www.bl.uk/manuscripts/FullDisplay.aspx?ref=Add_MS_31992&amp;index=0" TargetMode="External"/><Relationship Id="rId2" Type="http://schemas.openxmlformats.org/officeDocument/2006/relationships/hyperlink" Target="http://www.bl.uk/manuscripts/FullDisplay.aspx?ref=Add_MS_29247&amp;index=0" TargetMode="External"/><Relationship Id="rId1" Type="http://schemas.openxmlformats.org/officeDocument/2006/relationships/hyperlink" Target="http://www.bl.uk/manuscripts/FullDisplay.aspx?ref=Add_MS_29246&amp;index=0" TargetMode="External"/><Relationship Id="rId4" Type="http://schemas.openxmlformats.org/officeDocument/2006/relationships/hyperlink" Target="http://ks.imslp.net/files/imglnks/usimg/6/6b/IMSLP472676-PMLP767142-Taverner_Missa_Gloria_tibi_trinita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1718</Words>
  <Characters>9795</Characters>
  <Application>Microsoft Office Word</Application>
  <DocSecurity>0</DocSecurity>
  <Lines>81</Lines>
  <Paragraphs>22</Paragraphs>
  <ScaleCrop>false</ScaleCrop>
  <Company/>
  <LinksUpToDate>false</LinksUpToDate>
  <CharactersWithSpaces>11491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Weaver Jr</dc:creator>
  <cp:keywords/>
  <dc:description/>
  <cp:lastModifiedBy>Charles Weaver Jr</cp:lastModifiedBy>
  <cp:revision>4</cp:revision>
  <dcterms:created xsi:type="dcterms:W3CDTF">2020-01-30T18:48:00Z</dcterms:created>
  <dcterms:modified xsi:type="dcterms:W3CDTF">2021-07-08T22:00:00Z</dcterms:modified>
</cp:coreProperties>
</file>